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spacing w:line="480" w:lineRule="auto"/>
        <w:rPr>
          <w:rFonts w:ascii="宋体" w:hAnsi="宋体" w:cs="宋体"/>
          <w:b/>
          <w:szCs w:val="21"/>
          <w:highlight w:val="none"/>
        </w:rPr>
      </w:pPr>
      <w:r>
        <w:rPr>
          <w:rFonts w:hint="eastAsia" w:ascii="华文中宋" w:hAnsi="华文中宋" w:eastAsia="华文中宋"/>
          <w:b/>
          <w:sz w:val="72"/>
          <w:highlight w:val="none"/>
        </w:rPr>
        <w:drawing>
          <wp:inline distT="0" distB="0" distL="114300" distR="114300">
            <wp:extent cx="1438910" cy="978535"/>
            <wp:effectExtent l="0" t="0" r="8890" b="12065"/>
            <wp:docPr id="5" name="图片 5" descr="eb111b8149709745ca2d4184663b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b111b8149709745ca2d4184663bcbc"/>
                    <pic:cNvPicPr>
                      <a:picLocks noChangeAspect="1"/>
                    </pic:cNvPicPr>
                  </pic:nvPicPr>
                  <pic:blipFill>
                    <a:blip r:embed="rId11"/>
                    <a:stretch>
                      <a:fillRect/>
                    </a:stretch>
                  </pic:blipFill>
                  <pic:spPr>
                    <a:xfrm>
                      <a:off x="0" y="0"/>
                      <a:ext cx="1438910" cy="978535"/>
                    </a:xfrm>
                    <a:prstGeom prst="rect">
                      <a:avLst/>
                    </a:prstGeom>
                  </pic:spPr>
                </pic:pic>
              </a:graphicData>
            </a:graphic>
          </wp:inline>
        </w:drawing>
      </w:r>
    </w:p>
    <w:p>
      <w:pPr>
        <w:shd w:val="clear"/>
        <w:snapToGrid w:val="0"/>
        <w:jc w:val="center"/>
        <w:rPr>
          <w:rFonts w:ascii="黑体" w:hAnsi="华文中宋" w:eastAsia="黑体" w:cs="华文中宋"/>
          <w:b/>
          <w:bCs/>
          <w:sz w:val="72"/>
          <w:szCs w:val="72"/>
          <w:highlight w:val="none"/>
        </w:rPr>
      </w:pPr>
    </w:p>
    <w:p>
      <w:pPr>
        <w:shd w:val="clear"/>
        <w:snapToGrid w:val="0"/>
        <w:jc w:val="center"/>
        <w:rPr>
          <w:rFonts w:ascii="黑体" w:hAnsi="华文中宋" w:eastAsia="黑体" w:cs="华文中宋"/>
          <w:b/>
          <w:bCs/>
          <w:sz w:val="72"/>
          <w:szCs w:val="72"/>
          <w:highlight w:val="none"/>
        </w:rPr>
      </w:pPr>
      <w:r>
        <w:rPr>
          <w:rFonts w:hint="eastAsia" w:ascii="黑体" w:hAnsi="华文中宋" w:eastAsia="黑体" w:cs="华文中宋"/>
          <w:b/>
          <w:bCs/>
          <w:sz w:val="72"/>
          <w:szCs w:val="72"/>
          <w:highlight w:val="none"/>
        </w:rPr>
        <w:t>服务采购</w:t>
      </w:r>
    </w:p>
    <w:p>
      <w:pPr>
        <w:shd w:val="clear"/>
        <w:snapToGrid w:val="0"/>
        <w:jc w:val="center"/>
        <w:rPr>
          <w:rFonts w:ascii="黑体" w:hAnsi="华文中宋" w:eastAsia="黑体" w:cs="华文中宋"/>
          <w:b/>
          <w:bCs/>
          <w:sz w:val="72"/>
          <w:szCs w:val="72"/>
          <w:highlight w:val="none"/>
        </w:rPr>
      </w:pPr>
      <w:r>
        <w:rPr>
          <w:rFonts w:hint="eastAsia" w:ascii="黑体" w:hAnsi="华文中宋" w:eastAsia="黑体" w:cs="华文中宋"/>
          <w:b/>
          <w:bCs/>
          <w:sz w:val="72"/>
          <w:szCs w:val="72"/>
          <w:highlight w:val="none"/>
        </w:rPr>
        <w:t>公开招标文件</w:t>
      </w:r>
    </w:p>
    <w:p>
      <w:pPr>
        <w:shd w:val="clear"/>
        <w:spacing w:line="480" w:lineRule="auto"/>
        <w:rPr>
          <w:rFonts w:ascii="宋体" w:hAnsi="宋体" w:cs="宋体"/>
          <w:b/>
          <w:bCs/>
          <w:szCs w:val="21"/>
          <w:highlight w:val="none"/>
        </w:rPr>
      </w:pPr>
    </w:p>
    <w:p>
      <w:pPr>
        <w:shd w:val="clear"/>
        <w:spacing w:line="480" w:lineRule="auto"/>
        <w:rPr>
          <w:rFonts w:ascii="宋体" w:hAnsi="宋体" w:cs="宋体"/>
          <w:szCs w:val="21"/>
          <w:highlight w:val="none"/>
        </w:rPr>
      </w:pPr>
    </w:p>
    <w:p>
      <w:pPr>
        <w:shd w:val="clear"/>
        <w:spacing w:line="360" w:lineRule="auto"/>
        <w:rPr>
          <w:rFonts w:ascii="宋体" w:hAnsi="宋体" w:cs="宋体"/>
          <w:szCs w:val="21"/>
          <w:highlight w:val="none"/>
        </w:rPr>
      </w:pPr>
    </w:p>
    <w:p>
      <w:pPr>
        <w:shd w:val="clear"/>
        <w:spacing w:line="360" w:lineRule="auto"/>
        <w:rPr>
          <w:rFonts w:ascii="宋体" w:hAnsi="宋体" w:cs="宋体"/>
          <w:szCs w:val="21"/>
          <w:highlight w:val="none"/>
        </w:rPr>
      </w:pPr>
    </w:p>
    <w:p>
      <w:pPr>
        <w:pStyle w:val="2"/>
        <w:shd w:val="clear"/>
        <w:spacing w:line="360" w:lineRule="auto"/>
        <w:ind w:firstLine="470" w:firstLineChars="147"/>
        <w:rPr>
          <w:rFonts w:ascii="仿宋_GB2312" w:hAnsi="Times New Roman" w:eastAsia="仿宋_GB2312"/>
          <w:b/>
          <w:sz w:val="32"/>
          <w:highlight w:val="none"/>
        </w:rPr>
      </w:pPr>
      <w:r>
        <w:rPr>
          <w:rFonts w:hint="eastAsia" w:ascii="仿宋_GB2312" w:hAnsi="Times New Roman" w:eastAsia="仿宋_GB2312"/>
          <w:b/>
          <w:sz w:val="32"/>
          <w:highlight w:val="none"/>
        </w:rPr>
        <w:t xml:space="preserve">项目编号：BDGZ2023024  </w:t>
      </w:r>
    </w:p>
    <w:p>
      <w:pPr>
        <w:pStyle w:val="2"/>
        <w:shd w:val="clear"/>
        <w:spacing w:line="360" w:lineRule="auto"/>
        <w:ind w:firstLine="470" w:firstLineChars="147"/>
        <w:rPr>
          <w:rFonts w:ascii="仿宋_GB2312" w:hAnsi="Times New Roman" w:eastAsia="仿宋_GB2312"/>
          <w:b/>
          <w:sz w:val="32"/>
          <w:highlight w:val="none"/>
        </w:rPr>
      </w:pPr>
      <w:r>
        <w:rPr>
          <w:rFonts w:hint="eastAsia" w:ascii="仿宋_GB2312" w:hAnsi="Times New Roman" w:eastAsia="仿宋_GB2312"/>
          <w:b/>
          <w:sz w:val="32"/>
          <w:highlight w:val="none"/>
        </w:rPr>
        <w:t>项目名称：千灯湖创投特色小镇核心区物业管理服务</w:t>
      </w:r>
    </w:p>
    <w:p>
      <w:pPr>
        <w:pStyle w:val="2"/>
        <w:shd w:val="clear"/>
        <w:spacing w:line="360" w:lineRule="auto"/>
        <w:rPr>
          <w:rFonts w:ascii="宋体" w:hAnsi="宋体" w:cs="宋体"/>
          <w:b/>
          <w:szCs w:val="21"/>
          <w:highlight w:val="none"/>
        </w:rPr>
      </w:pPr>
    </w:p>
    <w:p>
      <w:pPr>
        <w:shd w:val="clear"/>
        <w:snapToGrid w:val="0"/>
        <w:spacing w:line="360" w:lineRule="auto"/>
        <w:rPr>
          <w:rFonts w:ascii="宋体" w:hAnsi="宋体" w:cs="宋体"/>
          <w:szCs w:val="21"/>
          <w:highlight w:val="none"/>
        </w:rPr>
      </w:pPr>
    </w:p>
    <w:p>
      <w:pPr>
        <w:shd w:val="clear"/>
        <w:spacing w:line="360" w:lineRule="auto"/>
        <w:ind w:firstLine="1500" w:firstLineChars="500"/>
        <w:rPr>
          <w:rFonts w:ascii="黑体" w:hAnsi="华文中宋" w:eastAsia="黑体" w:cs="华文中宋"/>
          <w:sz w:val="30"/>
          <w:szCs w:val="30"/>
          <w:highlight w:val="none"/>
        </w:rPr>
      </w:pPr>
      <w:r>
        <w:rPr>
          <w:rFonts w:hint="eastAsia" w:ascii="黑体" w:hAnsi="华文中宋" w:eastAsia="黑体" w:cs="华文中宋"/>
          <w:sz w:val="30"/>
          <w:szCs w:val="30"/>
          <w:highlight w:val="none"/>
        </w:rPr>
        <w:t>招标人：佛山市千灯湖创投小镇投资开发有限公司</w:t>
      </w:r>
    </w:p>
    <w:p>
      <w:pPr>
        <w:shd w:val="clear"/>
        <w:spacing w:line="360" w:lineRule="auto"/>
        <w:ind w:firstLine="1500" w:firstLineChars="500"/>
        <w:rPr>
          <w:rFonts w:ascii="黑体" w:hAnsi="华文中宋" w:eastAsia="黑体" w:cs="华文中宋"/>
          <w:sz w:val="30"/>
          <w:szCs w:val="30"/>
          <w:highlight w:val="none"/>
        </w:rPr>
      </w:pPr>
      <w:r>
        <w:rPr>
          <w:rFonts w:hint="eastAsia" w:ascii="黑体" w:hAnsi="华文中宋" w:eastAsia="黑体" w:cs="华文中宋"/>
          <w:sz w:val="30"/>
          <w:szCs w:val="30"/>
          <w:highlight w:val="none"/>
        </w:rPr>
        <w:t>招标代理机构：广东必鼎工程项目管理有限公司</w:t>
      </w:r>
    </w:p>
    <w:p>
      <w:pPr>
        <w:shd w:val="clear"/>
        <w:spacing w:line="360" w:lineRule="auto"/>
        <w:ind w:firstLine="1500" w:firstLineChars="500"/>
        <w:rPr>
          <w:rFonts w:ascii="黑体" w:hAnsi="华文中宋" w:eastAsia="黑体" w:cs="华文中宋"/>
          <w:sz w:val="30"/>
          <w:szCs w:val="30"/>
          <w:highlight w:val="none"/>
        </w:rPr>
      </w:pPr>
    </w:p>
    <w:p>
      <w:pPr>
        <w:shd w:val="clear"/>
        <w:spacing w:line="360" w:lineRule="auto"/>
        <w:jc w:val="center"/>
        <w:rPr>
          <w:rFonts w:ascii="黑体" w:hAnsi="华文中宋" w:eastAsia="黑体" w:cs="华文中宋"/>
          <w:sz w:val="30"/>
          <w:szCs w:val="30"/>
          <w:highlight w:val="none"/>
        </w:rPr>
        <w:sectPr>
          <w:headerReference r:id="rId5" w:type="first"/>
          <w:headerReference r:id="rId3" w:type="default"/>
          <w:headerReference r:id="rId4" w:type="even"/>
          <w:footerReference r:id="rId6" w:type="even"/>
          <w:pgSz w:w="11906" w:h="16838"/>
          <w:pgMar w:top="1440" w:right="1466" w:bottom="1440" w:left="1800" w:header="567" w:footer="992" w:gutter="0"/>
          <w:cols w:space="720" w:num="1"/>
          <w:docGrid w:type="linesAndChars" w:linePitch="312" w:charSpace="0"/>
        </w:sectPr>
      </w:pPr>
      <w:r>
        <w:rPr>
          <w:rFonts w:hint="eastAsia" w:ascii="黑体" w:hAnsi="华文中宋" w:eastAsia="黑体" w:cs="华文中宋"/>
          <w:sz w:val="30"/>
          <w:szCs w:val="30"/>
          <w:highlight w:val="none"/>
        </w:rPr>
        <w:t>2023年</w:t>
      </w:r>
      <w:r>
        <w:rPr>
          <w:rFonts w:hint="eastAsia" w:ascii="黑体" w:hAnsi="华文中宋" w:eastAsia="黑体" w:cs="华文中宋"/>
          <w:sz w:val="30"/>
          <w:szCs w:val="30"/>
          <w:highlight w:val="none"/>
          <w:lang w:val="en-US" w:eastAsia="zh-CN"/>
        </w:rPr>
        <w:t>6</w:t>
      </w:r>
      <w:r>
        <w:rPr>
          <w:rFonts w:hint="eastAsia" w:ascii="黑体" w:hAnsi="华文中宋" w:eastAsia="黑体" w:cs="华文中宋"/>
          <w:sz w:val="30"/>
          <w:szCs w:val="30"/>
          <w:highlight w:val="none"/>
        </w:rPr>
        <w:t>月</w:t>
      </w:r>
    </w:p>
    <w:p>
      <w:pPr>
        <w:shd w:val="clear"/>
        <w:autoSpaceDE w:val="0"/>
        <w:autoSpaceDN w:val="0"/>
        <w:adjustRightInd w:val="0"/>
        <w:snapToGrid w:val="0"/>
        <w:spacing w:before="156" w:beforeLines="50" w:after="156" w:afterLines="50" w:line="360" w:lineRule="auto"/>
        <w:jc w:val="center"/>
        <w:rPr>
          <w:rFonts w:ascii="宋体" w:hAnsi="宋体"/>
          <w:b/>
          <w:sz w:val="44"/>
          <w:szCs w:val="44"/>
          <w:highlight w:val="none"/>
        </w:rPr>
      </w:pPr>
      <w:r>
        <w:rPr>
          <w:rFonts w:hint="eastAsia" w:ascii="宋体" w:hAnsi="宋体"/>
          <w:b/>
          <w:sz w:val="44"/>
          <w:szCs w:val="44"/>
          <w:highlight w:val="none"/>
        </w:rPr>
        <w:t>目   录</w:t>
      </w:r>
    </w:p>
    <w:p>
      <w:pPr>
        <w:pStyle w:val="16"/>
        <w:shd w:val="clear"/>
        <w:tabs>
          <w:tab w:val="right" w:leader="dot" w:pos="9180"/>
          <w:tab w:val="clear" w:pos="9060"/>
        </w:tabs>
        <w:rPr>
          <w:rFonts w:ascii="宋体" w:hAnsi="宋体" w:cs="宋体"/>
          <w:b/>
          <w:szCs w:val="21"/>
          <w:highlight w:val="none"/>
        </w:rPr>
      </w:pPr>
      <w:bookmarkStart w:id="151" w:name="_GoBack"/>
      <w:r>
        <w:rPr>
          <w:rFonts w:hint="eastAsia" w:ascii="宋体" w:hAnsi="宋体" w:cs="宋体"/>
          <w:b/>
          <w:szCs w:val="21"/>
          <w:highlight w:val="none"/>
        </w:rPr>
        <w:fldChar w:fldCharType="begin"/>
      </w:r>
      <w:r>
        <w:rPr>
          <w:rStyle w:val="28"/>
          <w:rFonts w:hint="eastAsia" w:ascii="宋体" w:hAnsi="宋体" w:cs="宋体"/>
          <w:b/>
          <w:sz w:val="21"/>
          <w:szCs w:val="21"/>
          <w:highlight w:val="none"/>
        </w:rPr>
        <w:instrText xml:space="preserve"> TOC \o "1-1" \h \z \u </w:instrText>
      </w:r>
      <w:r>
        <w:rPr>
          <w:rFonts w:hint="eastAsia" w:ascii="宋体" w:hAnsi="宋体" w:cs="宋体"/>
          <w:b/>
          <w:szCs w:val="21"/>
          <w:highlight w:val="none"/>
        </w:rPr>
        <w:fldChar w:fldCharType="separate"/>
      </w:r>
      <w:r>
        <w:rPr>
          <w:highlight w:val="none"/>
        </w:rPr>
        <w:fldChar w:fldCharType="begin"/>
      </w:r>
      <w:r>
        <w:rPr>
          <w:highlight w:val="none"/>
        </w:rPr>
        <w:instrText xml:space="preserve">HYPERLINK \l "_Toc11072"</w:instrText>
      </w:r>
      <w:r>
        <w:rPr>
          <w:highlight w:val="none"/>
        </w:rPr>
        <w:fldChar w:fldCharType="separate"/>
      </w:r>
      <w:r>
        <w:rPr>
          <w:rFonts w:hint="eastAsia" w:ascii="宋体" w:hAnsi="宋体" w:cs="宋体"/>
          <w:b/>
          <w:szCs w:val="21"/>
          <w:highlight w:val="none"/>
        </w:rPr>
        <w:t>第一章  采购公告</w:t>
      </w:r>
      <w:r>
        <w:rPr>
          <w:rFonts w:hint="eastAsia" w:ascii="宋体" w:hAnsi="宋体" w:cs="宋体"/>
          <w:b/>
          <w:szCs w:val="21"/>
          <w:highlight w:val="none"/>
        </w:rPr>
        <w:tab/>
      </w:r>
      <w:r>
        <w:rPr>
          <w:rFonts w:hint="eastAsia" w:ascii="宋体" w:hAnsi="宋体" w:cs="宋体"/>
          <w:b/>
          <w:szCs w:val="21"/>
          <w:highlight w:val="none"/>
        </w:rPr>
        <w:fldChar w:fldCharType="begin"/>
      </w:r>
      <w:r>
        <w:rPr>
          <w:rFonts w:hint="eastAsia" w:ascii="宋体" w:hAnsi="宋体" w:cs="宋体"/>
          <w:b/>
          <w:szCs w:val="21"/>
          <w:highlight w:val="none"/>
        </w:rPr>
        <w:instrText xml:space="preserve"> PAGEREF _Toc11072 \h </w:instrText>
      </w:r>
      <w:r>
        <w:rPr>
          <w:rFonts w:hint="eastAsia" w:ascii="宋体" w:hAnsi="宋体" w:cs="宋体"/>
          <w:b/>
          <w:szCs w:val="21"/>
          <w:highlight w:val="none"/>
        </w:rPr>
        <w:fldChar w:fldCharType="separate"/>
      </w:r>
      <w:r>
        <w:rPr>
          <w:rFonts w:hint="eastAsia" w:ascii="宋体" w:hAnsi="宋体" w:cs="宋体"/>
          <w:b/>
          <w:szCs w:val="21"/>
          <w:highlight w:val="none"/>
        </w:rPr>
        <w:t>2</w:t>
      </w:r>
      <w:r>
        <w:rPr>
          <w:rFonts w:hint="eastAsia" w:ascii="宋体" w:hAnsi="宋体" w:cs="宋体"/>
          <w:b/>
          <w:szCs w:val="21"/>
          <w:highlight w:val="none"/>
        </w:rPr>
        <w:fldChar w:fldCharType="end"/>
      </w:r>
      <w:r>
        <w:rPr>
          <w:rFonts w:ascii="宋体" w:hAnsi="宋体" w:cs="宋体"/>
          <w:b/>
          <w:szCs w:val="21"/>
          <w:highlight w:val="none"/>
        </w:rPr>
        <w:fldChar w:fldCharType="end"/>
      </w:r>
    </w:p>
    <w:p>
      <w:pPr>
        <w:pStyle w:val="16"/>
        <w:shd w:val="clear"/>
        <w:tabs>
          <w:tab w:val="right" w:leader="dot" w:pos="9180"/>
          <w:tab w:val="clear" w:pos="9060"/>
        </w:tabs>
        <w:rPr>
          <w:rFonts w:ascii="宋体" w:hAnsi="宋体" w:cs="宋体"/>
          <w:b/>
          <w:szCs w:val="21"/>
          <w:highlight w:val="none"/>
        </w:rPr>
      </w:pPr>
      <w:r>
        <w:rPr>
          <w:highlight w:val="none"/>
        </w:rPr>
        <w:fldChar w:fldCharType="begin"/>
      </w:r>
      <w:r>
        <w:rPr>
          <w:highlight w:val="none"/>
        </w:rPr>
        <w:instrText xml:space="preserve">HYPERLINK \l "_Toc996"</w:instrText>
      </w:r>
      <w:r>
        <w:rPr>
          <w:highlight w:val="none"/>
        </w:rPr>
        <w:fldChar w:fldCharType="separate"/>
      </w:r>
      <w:r>
        <w:rPr>
          <w:rFonts w:hint="eastAsia" w:ascii="宋体" w:hAnsi="宋体" w:cs="宋体"/>
          <w:b/>
          <w:szCs w:val="21"/>
          <w:highlight w:val="none"/>
        </w:rPr>
        <w:t>第二章  投标资料表</w:t>
      </w:r>
      <w:r>
        <w:rPr>
          <w:rFonts w:hint="eastAsia" w:ascii="宋体" w:hAnsi="宋体" w:cs="宋体"/>
          <w:b/>
          <w:szCs w:val="21"/>
          <w:highlight w:val="none"/>
        </w:rPr>
        <w:tab/>
      </w:r>
      <w:r>
        <w:rPr>
          <w:rFonts w:hint="eastAsia" w:ascii="宋体" w:hAnsi="宋体" w:cs="宋体"/>
          <w:b/>
          <w:szCs w:val="21"/>
          <w:highlight w:val="none"/>
        </w:rPr>
        <w:fldChar w:fldCharType="begin"/>
      </w:r>
      <w:r>
        <w:rPr>
          <w:rFonts w:hint="eastAsia" w:ascii="宋体" w:hAnsi="宋体" w:cs="宋体"/>
          <w:b/>
          <w:szCs w:val="21"/>
          <w:highlight w:val="none"/>
        </w:rPr>
        <w:instrText xml:space="preserve"> PAGEREF _Toc996 \h </w:instrText>
      </w:r>
      <w:r>
        <w:rPr>
          <w:rFonts w:hint="eastAsia" w:ascii="宋体" w:hAnsi="宋体" w:cs="宋体"/>
          <w:b/>
          <w:szCs w:val="21"/>
          <w:highlight w:val="none"/>
        </w:rPr>
        <w:fldChar w:fldCharType="separate"/>
      </w:r>
      <w:r>
        <w:rPr>
          <w:rFonts w:hint="eastAsia" w:ascii="宋体" w:hAnsi="宋体" w:cs="宋体"/>
          <w:b/>
          <w:szCs w:val="21"/>
          <w:highlight w:val="none"/>
        </w:rPr>
        <w:t>5</w:t>
      </w:r>
      <w:r>
        <w:rPr>
          <w:rFonts w:hint="eastAsia" w:ascii="宋体" w:hAnsi="宋体" w:cs="宋体"/>
          <w:b/>
          <w:szCs w:val="21"/>
          <w:highlight w:val="none"/>
        </w:rPr>
        <w:fldChar w:fldCharType="end"/>
      </w:r>
      <w:r>
        <w:rPr>
          <w:rFonts w:ascii="宋体" w:hAnsi="宋体" w:cs="宋体"/>
          <w:b/>
          <w:szCs w:val="21"/>
          <w:highlight w:val="none"/>
        </w:rPr>
        <w:fldChar w:fldCharType="end"/>
      </w:r>
    </w:p>
    <w:p>
      <w:pPr>
        <w:pStyle w:val="16"/>
        <w:shd w:val="clear"/>
        <w:tabs>
          <w:tab w:val="right" w:leader="dot" w:pos="9180"/>
          <w:tab w:val="clear" w:pos="9060"/>
        </w:tabs>
        <w:rPr>
          <w:rFonts w:ascii="宋体" w:hAnsi="宋体" w:cs="宋体"/>
          <w:b/>
          <w:szCs w:val="21"/>
          <w:highlight w:val="none"/>
        </w:rPr>
      </w:pPr>
      <w:r>
        <w:rPr>
          <w:highlight w:val="none"/>
        </w:rPr>
        <w:fldChar w:fldCharType="begin"/>
      </w:r>
      <w:r>
        <w:rPr>
          <w:highlight w:val="none"/>
        </w:rPr>
        <w:instrText xml:space="preserve">HYPERLINK \l "_Toc31360"</w:instrText>
      </w:r>
      <w:r>
        <w:rPr>
          <w:highlight w:val="none"/>
        </w:rPr>
        <w:fldChar w:fldCharType="separate"/>
      </w:r>
      <w:r>
        <w:rPr>
          <w:rFonts w:hint="eastAsia" w:ascii="宋体" w:hAnsi="宋体" w:cs="宋体"/>
          <w:b/>
          <w:szCs w:val="21"/>
          <w:highlight w:val="none"/>
        </w:rPr>
        <w:t>第三章  用户需求书</w:t>
      </w:r>
      <w:r>
        <w:rPr>
          <w:rFonts w:hint="eastAsia" w:ascii="宋体" w:hAnsi="宋体" w:cs="宋体"/>
          <w:b/>
          <w:szCs w:val="21"/>
          <w:highlight w:val="none"/>
        </w:rPr>
        <w:tab/>
      </w:r>
      <w:r>
        <w:rPr>
          <w:rFonts w:hint="eastAsia" w:ascii="宋体" w:hAnsi="宋体" w:cs="宋体"/>
          <w:b/>
          <w:szCs w:val="21"/>
          <w:highlight w:val="none"/>
        </w:rPr>
        <w:fldChar w:fldCharType="begin"/>
      </w:r>
      <w:r>
        <w:rPr>
          <w:rFonts w:hint="eastAsia" w:ascii="宋体" w:hAnsi="宋体" w:cs="宋体"/>
          <w:b/>
          <w:szCs w:val="21"/>
          <w:highlight w:val="none"/>
        </w:rPr>
        <w:instrText xml:space="preserve"> PAGEREF _Toc31360 \h </w:instrText>
      </w:r>
      <w:r>
        <w:rPr>
          <w:rFonts w:hint="eastAsia" w:ascii="宋体" w:hAnsi="宋体" w:cs="宋体"/>
          <w:b/>
          <w:szCs w:val="21"/>
          <w:highlight w:val="none"/>
        </w:rPr>
        <w:fldChar w:fldCharType="separate"/>
      </w:r>
      <w:r>
        <w:rPr>
          <w:rFonts w:hint="eastAsia" w:ascii="宋体" w:hAnsi="宋体" w:cs="宋体"/>
          <w:b/>
          <w:szCs w:val="21"/>
          <w:highlight w:val="none"/>
        </w:rPr>
        <w:t>7</w:t>
      </w:r>
      <w:r>
        <w:rPr>
          <w:rFonts w:hint="eastAsia" w:ascii="宋体" w:hAnsi="宋体" w:cs="宋体"/>
          <w:b/>
          <w:szCs w:val="21"/>
          <w:highlight w:val="none"/>
        </w:rPr>
        <w:fldChar w:fldCharType="end"/>
      </w:r>
      <w:r>
        <w:rPr>
          <w:rFonts w:ascii="宋体" w:hAnsi="宋体" w:cs="宋体"/>
          <w:b/>
          <w:szCs w:val="21"/>
          <w:highlight w:val="none"/>
        </w:rPr>
        <w:fldChar w:fldCharType="end"/>
      </w:r>
    </w:p>
    <w:p>
      <w:pPr>
        <w:pStyle w:val="16"/>
        <w:shd w:val="clear"/>
        <w:tabs>
          <w:tab w:val="right" w:leader="dot" w:pos="9180"/>
          <w:tab w:val="clear" w:pos="9060"/>
        </w:tabs>
        <w:rPr>
          <w:rFonts w:ascii="宋体" w:hAnsi="宋体" w:cs="宋体"/>
          <w:b/>
          <w:szCs w:val="21"/>
          <w:highlight w:val="none"/>
        </w:rPr>
      </w:pPr>
      <w:r>
        <w:rPr>
          <w:highlight w:val="none"/>
        </w:rPr>
        <w:fldChar w:fldCharType="begin"/>
      </w:r>
      <w:r>
        <w:rPr>
          <w:highlight w:val="none"/>
        </w:rPr>
        <w:instrText xml:space="preserve">HYPERLINK \l "_Toc24320"</w:instrText>
      </w:r>
      <w:r>
        <w:rPr>
          <w:highlight w:val="none"/>
        </w:rPr>
        <w:fldChar w:fldCharType="separate"/>
      </w:r>
      <w:r>
        <w:rPr>
          <w:rFonts w:hint="eastAsia" w:ascii="宋体" w:hAnsi="宋体" w:cs="宋体"/>
          <w:b/>
          <w:szCs w:val="21"/>
          <w:highlight w:val="none"/>
        </w:rPr>
        <w:t>第四章  评分体系与标准</w:t>
      </w:r>
      <w:r>
        <w:rPr>
          <w:rFonts w:hint="eastAsia" w:ascii="宋体" w:hAnsi="宋体" w:cs="宋体"/>
          <w:b/>
          <w:szCs w:val="21"/>
          <w:highlight w:val="none"/>
        </w:rPr>
        <w:tab/>
      </w:r>
      <w:r>
        <w:rPr>
          <w:rFonts w:hint="eastAsia" w:ascii="宋体" w:hAnsi="宋体" w:cs="宋体"/>
          <w:b/>
          <w:szCs w:val="21"/>
          <w:highlight w:val="none"/>
        </w:rPr>
        <w:fldChar w:fldCharType="begin"/>
      </w:r>
      <w:r>
        <w:rPr>
          <w:rFonts w:hint="eastAsia" w:ascii="宋体" w:hAnsi="宋体" w:cs="宋体"/>
          <w:b/>
          <w:szCs w:val="21"/>
          <w:highlight w:val="none"/>
        </w:rPr>
        <w:instrText xml:space="preserve"> PAGEREF _Toc24320 \h </w:instrText>
      </w:r>
      <w:r>
        <w:rPr>
          <w:rFonts w:hint="eastAsia" w:ascii="宋体" w:hAnsi="宋体" w:cs="宋体"/>
          <w:b/>
          <w:szCs w:val="21"/>
          <w:highlight w:val="none"/>
        </w:rPr>
        <w:fldChar w:fldCharType="separate"/>
      </w:r>
      <w:r>
        <w:rPr>
          <w:rFonts w:hint="eastAsia" w:ascii="宋体" w:hAnsi="宋体" w:cs="宋体"/>
          <w:b/>
          <w:szCs w:val="21"/>
          <w:highlight w:val="none"/>
        </w:rPr>
        <w:t>32</w:t>
      </w:r>
      <w:r>
        <w:rPr>
          <w:rFonts w:hint="eastAsia" w:ascii="宋体" w:hAnsi="宋体" w:cs="宋体"/>
          <w:b/>
          <w:szCs w:val="21"/>
          <w:highlight w:val="none"/>
        </w:rPr>
        <w:fldChar w:fldCharType="end"/>
      </w:r>
      <w:r>
        <w:rPr>
          <w:rFonts w:ascii="宋体" w:hAnsi="宋体" w:cs="宋体"/>
          <w:b/>
          <w:szCs w:val="21"/>
          <w:highlight w:val="none"/>
        </w:rPr>
        <w:fldChar w:fldCharType="end"/>
      </w:r>
    </w:p>
    <w:p>
      <w:pPr>
        <w:pStyle w:val="16"/>
        <w:shd w:val="clear"/>
        <w:tabs>
          <w:tab w:val="right" w:leader="dot" w:pos="9180"/>
          <w:tab w:val="clear" w:pos="9060"/>
        </w:tabs>
        <w:rPr>
          <w:rFonts w:ascii="宋体" w:hAnsi="宋体" w:cs="宋体"/>
          <w:b/>
          <w:szCs w:val="21"/>
          <w:highlight w:val="none"/>
        </w:rPr>
      </w:pPr>
      <w:r>
        <w:rPr>
          <w:highlight w:val="none"/>
        </w:rPr>
        <w:fldChar w:fldCharType="begin"/>
      </w:r>
      <w:r>
        <w:rPr>
          <w:highlight w:val="none"/>
        </w:rPr>
        <w:instrText xml:space="preserve">HYPERLINK \l "_Toc15031"</w:instrText>
      </w:r>
      <w:r>
        <w:rPr>
          <w:highlight w:val="none"/>
        </w:rPr>
        <w:fldChar w:fldCharType="separate"/>
      </w:r>
      <w:r>
        <w:rPr>
          <w:rFonts w:hint="eastAsia" w:ascii="宋体" w:hAnsi="宋体" w:cs="宋体"/>
          <w:b/>
          <w:szCs w:val="21"/>
          <w:highlight w:val="none"/>
        </w:rPr>
        <w:t>第五章  投标人须知</w:t>
      </w:r>
      <w:r>
        <w:rPr>
          <w:rFonts w:hint="eastAsia" w:ascii="宋体" w:hAnsi="宋体" w:cs="宋体"/>
          <w:b/>
          <w:szCs w:val="21"/>
          <w:highlight w:val="none"/>
        </w:rPr>
        <w:tab/>
      </w:r>
      <w:r>
        <w:rPr>
          <w:rFonts w:hint="eastAsia" w:ascii="宋体" w:hAnsi="宋体" w:cs="宋体"/>
          <w:b/>
          <w:szCs w:val="21"/>
          <w:highlight w:val="none"/>
        </w:rPr>
        <w:fldChar w:fldCharType="begin"/>
      </w:r>
      <w:r>
        <w:rPr>
          <w:rFonts w:hint="eastAsia" w:ascii="宋体" w:hAnsi="宋体" w:cs="宋体"/>
          <w:b/>
          <w:szCs w:val="21"/>
          <w:highlight w:val="none"/>
        </w:rPr>
        <w:instrText xml:space="preserve"> PAGEREF _Toc15031 \h </w:instrText>
      </w:r>
      <w:r>
        <w:rPr>
          <w:rFonts w:hint="eastAsia" w:ascii="宋体" w:hAnsi="宋体" w:cs="宋体"/>
          <w:b/>
          <w:szCs w:val="21"/>
          <w:highlight w:val="none"/>
        </w:rPr>
        <w:fldChar w:fldCharType="separate"/>
      </w:r>
      <w:r>
        <w:rPr>
          <w:rFonts w:hint="eastAsia" w:ascii="宋体" w:hAnsi="宋体" w:cs="宋体"/>
          <w:b/>
          <w:szCs w:val="21"/>
          <w:highlight w:val="none"/>
        </w:rPr>
        <w:t>43</w:t>
      </w:r>
      <w:r>
        <w:rPr>
          <w:rFonts w:hint="eastAsia" w:ascii="宋体" w:hAnsi="宋体" w:cs="宋体"/>
          <w:b/>
          <w:szCs w:val="21"/>
          <w:highlight w:val="none"/>
        </w:rPr>
        <w:fldChar w:fldCharType="end"/>
      </w:r>
      <w:r>
        <w:rPr>
          <w:rFonts w:ascii="宋体" w:hAnsi="宋体" w:cs="宋体"/>
          <w:b/>
          <w:szCs w:val="21"/>
          <w:highlight w:val="none"/>
        </w:rPr>
        <w:fldChar w:fldCharType="end"/>
      </w:r>
    </w:p>
    <w:p>
      <w:pPr>
        <w:pStyle w:val="16"/>
        <w:shd w:val="clear"/>
        <w:tabs>
          <w:tab w:val="right" w:leader="dot" w:pos="9180"/>
          <w:tab w:val="clear" w:pos="9060"/>
        </w:tabs>
        <w:rPr>
          <w:rFonts w:ascii="宋体" w:hAnsi="宋体" w:cs="宋体"/>
          <w:b/>
          <w:szCs w:val="21"/>
          <w:highlight w:val="none"/>
        </w:rPr>
      </w:pPr>
      <w:r>
        <w:rPr>
          <w:highlight w:val="none"/>
        </w:rPr>
        <w:fldChar w:fldCharType="begin"/>
      </w:r>
      <w:r>
        <w:rPr>
          <w:highlight w:val="none"/>
        </w:rPr>
        <w:instrText xml:space="preserve">HYPERLINK \l "_Toc29705"</w:instrText>
      </w:r>
      <w:r>
        <w:rPr>
          <w:highlight w:val="none"/>
        </w:rPr>
        <w:fldChar w:fldCharType="separate"/>
      </w:r>
      <w:r>
        <w:rPr>
          <w:rFonts w:hint="eastAsia" w:ascii="宋体" w:hAnsi="宋体" w:cs="宋体"/>
          <w:b/>
          <w:szCs w:val="21"/>
          <w:highlight w:val="none"/>
        </w:rPr>
        <w:t>第六章  合同条款</w:t>
      </w:r>
      <w:r>
        <w:rPr>
          <w:rFonts w:hint="eastAsia" w:ascii="宋体" w:hAnsi="宋体" w:cs="宋体"/>
          <w:b/>
          <w:szCs w:val="21"/>
          <w:highlight w:val="none"/>
        </w:rPr>
        <w:tab/>
      </w:r>
      <w:r>
        <w:rPr>
          <w:rFonts w:hint="eastAsia" w:ascii="宋体" w:hAnsi="宋体" w:cs="宋体"/>
          <w:b/>
          <w:szCs w:val="21"/>
          <w:highlight w:val="none"/>
        </w:rPr>
        <w:fldChar w:fldCharType="begin"/>
      </w:r>
      <w:r>
        <w:rPr>
          <w:rFonts w:hint="eastAsia" w:ascii="宋体" w:hAnsi="宋体" w:cs="宋体"/>
          <w:b/>
          <w:szCs w:val="21"/>
          <w:highlight w:val="none"/>
        </w:rPr>
        <w:instrText xml:space="preserve"> PAGEREF _Toc29705 \h </w:instrText>
      </w:r>
      <w:r>
        <w:rPr>
          <w:rFonts w:hint="eastAsia" w:ascii="宋体" w:hAnsi="宋体" w:cs="宋体"/>
          <w:b/>
          <w:szCs w:val="21"/>
          <w:highlight w:val="none"/>
        </w:rPr>
        <w:fldChar w:fldCharType="separate"/>
      </w:r>
      <w:r>
        <w:rPr>
          <w:rFonts w:hint="eastAsia" w:ascii="宋体" w:hAnsi="宋体" w:cs="宋体"/>
          <w:b/>
          <w:szCs w:val="21"/>
          <w:highlight w:val="none"/>
        </w:rPr>
        <w:t>54</w:t>
      </w:r>
      <w:r>
        <w:rPr>
          <w:rFonts w:hint="eastAsia" w:ascii="宋体" w:hAnsi="宋体" w:cs="宋体"/>
          <w:b/>
          <w:szCs w:val="21"/>
          <w:highlight w:val="none"/>
        </w:rPr>
        <w:fldChar w:fldCharType="end"/>
      </w:r>
      <w:r>
        <w:rPr>
          <w:rFonts w:ascii="宋体" w:hAnsi="宋体" w:cs="宋体"/>
          <w:b/>
          <w:szCs w:val="21"/>
          <w:highlight w:val="none"/>
        </w:rPr>
        <w:fldChar w:fldCharType="end"/>
      </w:r>
    </w:p>
    <w:p>
      <w:pPr>
        <w:pStyle w:val="16"/>
        <w:shd w:val="clear"/>
        <w:tabs>
          <w:tab w:val="right" w:leader="dot" w:pos="9180"/>
          <w:tab w:val="clear" w:pos="9060"/>
        </w:tabs>
        <w:rPr>
          <w:rFonts w:ascii="宋体" w:hAnsi="宋体" w:cs="宋体"/>
          <w:b/>
          <w:szCs w:val="21"/>
          <w:highlight w:val="none"/>
        </w:rPr>
      </w:pPr>
      <w:r>
        <w:rPr>
          <w:highlight w:val="none"/>
        </w:rPr>
        <w:fldChar w:fldCharType="begin"/>
      </w:r>
      <w:r>
        <w:rPr>
          <w:highlight w:val="none"/>
        </w:rPr>
        <w:instrText xml:space="preserve">HYPERLINK \l "_Toc15548"</w:instrText>
      </w:r>
      <w:r>
        <w:rPr>
          <w:highlight w:val="none"/>
        </w:rPr>
        <w:fldChar w:fldCharType="separate"/>
      </w:r>
      <w:r>
        <w:rPr>
          <w:rFonts w:hint="eastAsia" w:ascii="宋体" w:hAnsi="宋体" w:cs="宋体"/>
          <w:b/>
          <w:szCs w:val="21"/>
          <w:highlight w:val="none"/>
        </w:rPr>
        <w:t>第七章  投标文件格式</w:t>
      </w:r>
      <w:r>
        <w:rPr>
          <w:rFonts w:hint="eastAsia" w:ascii="宋体" w:hAnsi="宋体" w:cs="宋体"/>
          <w:b/>
          <w:szCs w:val="21"/>
          <w:highlight w:val="none"/>
        </w:rPr>
        <w:tab/>
      </w:r>
      <w:r>
        <w:rPr>
          <w:rFonts w:hint="eastAsia" w:ascii="宋体" w:hAnsi="宋体" w:cs="宋体"/>
          <w:b/>
          <w:szCs w:val="21"/>
          <w:highlight w:val="none"/>
        </w:rPr>
        <w:fldChar w:fldCharType="begin"/>
      </w:r>
      <w:r>
        <w:rPr>
          <w:rFonts w:hint="eastAsia" w:ascii="宋体" w:hAnsi="宋体" w:cs="宋体"/>
          <w:b/>
          <w:szCs w:val="21"/>
          <w:highlight w:val="none"/>
        </w:rPr>
        <w:instrText xml:space="preserve"> PAGEREF _Toc15548 \h </w:instrText>
      </w:r>
      <w:r>
        <w:rPr>
          <w:rFonts w:hint="eastAsia" w:ascii="宋体" w:hAnsi="宋体" w:cs="宋体"/>
          <w:b/>
          <w:szCs w:val="21"/>
          <w:highlight w:val="none"/>
        </w:rPr>
        <w:fldChar w:fldCharType="separate"/>
      </w:r>
      <w:r>
        <w:rPr>
          <w:rFonts w:hint="eastAsia" w:ascii="宋体" w:hAnsi="宋体" w:cs="宋体"/>
          <w:b/>
          <w:szCs w:val="21"/>
          <w:highlight w:val="none"/>
        </w:rPr>
        <w:t>84</w:t>
      </w:r>
      <w:r>
        <w:rPr>
          <w:rFonts w:hint="eastAsia" w:ascii="宋体" w:hAnsi="宋体" w:cs="宋体"/>
          <w:b/>
          <w:szCs w:val="21"/>
          <w:highlight w:val="none"/>
        </w:rPr>
        <w:fldChar w:fldCharType="end"/>
      </w:r>
      <w:r>
        <w:rPr>
          <w:rFonts w:ascii="宋体" w:hAnsi="宋体" w:cs="宋体"/>
          <w:b/>
          <w:szCs w:val="21"/>
          <w:highlight w:val="none"/>
        </w:rPr>
        <w:fldChar w:fldCharType="end"/>
      </w:r>
    </w:p>
    <w:p>
      <w:pPr>
        <w:pStyle w:val="16"/>
        <w:shd w:val="clear"/>
        <w:tabs>
          <w:tab w:val="right" w:leader="dot" w:pos="9180"/>
          <w:tab w:val="clear" w:pos="9060"/>
        </w:tabs>
        <w:rPr>
          <w:rFonts w:ascii="宋体" w:hAnsi="宋体" w:cs="宋体"/>
          <w:b/>
          <w:szCs w:val="21"/>
          <w:highlight w:val="none"/>
        </w:rPr>
      </w:pPr>
      <w:r>
        <w:rPr>
          <w:highlight w:val="none"/>
        </w:rPr>
        <w:fldChar w:fldCharType="begin"/>
      </w:r>
      <w:r>
        <w:rPr>
          <w:highlight w:val="none"/>
        </w:rPr>
        <w:instrText xml:space="preserve">HYPERLINK \l "_Toc26145"</w:instrText>
      </w:r>
      <w:r>
        <w:rPr>
          <w:highlight w:val="none"/>
        </w:rPr>
        <w:fldChar w:fldCharType="separate"/>
      </w:r>
      <w:r>
        <w:rPr>
          <w:rFonts w:hint="eastAsia" w:ascii="宋体" w:hAnsi="宋体" w:cs="宋体"/>
          <w:b/>
          <w:szCs w:val="21"/>
          <w:highlight w:val="none"/>
          <w:lang w:eastAsia="zh-TW"/>
        </w:rPr>
        <w:t>投标文件包装封面参考</w:t>
      </w:r>
      <w:r>
        <w:rPr>
          <w:rFonts w:hint="eastAsia" w:ascii="宋体" w:hAnsi="宋体" w:cs="宋体"/>
          <w:b/>
          <w:szCs w:val="21"/>
          <w:highlight w:val="none"/>
        </w:rPr>
        <w:tab/>
      </w:r>
      <w:r>
        <w:rPr>
          <w:rFonts w:hint="eastAsia" w:ascii="宋体" w:hAnsi="宋体" w:cs="宋体"/>
          <w:b/>
          <w:szCs w:val="21"/>
          <w:highlight w:val="none"/>
        </w:rPr>
        <w:fldChar w:fldCharType="begin"/>
      </w:r>
      <w:r>
        <w:rPr>
          <w:rFonts w:hint="eastAsia" w:ascii="宋体" w:hAnsi="宋体" w:cs="宋体"/>
          <w:b/>
          <w:szCs w:val="21"/>
          <w:highlight w:val="none"/>
        </w:rPr>
        <w:instrText xml:space="preserve"> PAGEREF _Toc26145 \h </w:instrText>
      </w:r>
      <w:r>
        <w:rPr>
          <w:rFonts w:hint="eastAsia" w:ascii="宋体" w:hAnsi="宋体" w:cs="宋体"/>
          <w:b/>
          <w:szCs w:val="21"/>
          <w:highlight w:val="none"/>
        </w:rPr>
        <w:fldChar w:fldCharType="separate"/>
      </w:r>
      <w:r>
        <w:rPr>
          <w:rFonts w:hint="eastAsia" w:ascii="宋体" w:hAnsi="宋体" w:cs="宋体"/>
          <w:b/>
          <w:szCs w:val="21"/>
          <w:highlight w:val="none"/>
        </w:rPr>
        <w:t>84</w:t>
      </w:r>
      <w:r>
        <w:rPr>
          <w:rFonts w:hint="eastAsia" w:ascii="宋体" w:hAnsi="宋体" w:cs="宋体"/>
          <w:b/>
          <w:szCs w:val="21"/>
          <w:highlight w:val="none"/>
        </w:rPr>
        <w:fldChar w:fldCharType="end"/>
      </w:r>
      <w:r>
        <w:rPr>
          <w:rFonts w:ascii="宋体" w:hAnsi="宋体" w:cs="宋体"/>
          <w:b/>
          <w:szCs w:val="21"/>
          <w:highlight w:val="none"/>
        </w:rPr>
        <w:fldChar w:fldCharType="end"/>
      </w:r>
    </w:p>
    <w:p>
      <w:pPr>
        <w:pStyle w:val="16"/>
        <w:shd w:val="clear"/>
        <w:tabs>
          <w:tab w:val="right" w:leader="dot" w:pos="9180"/>
          <w:tab w:val="clear" w:pos="9060"/>
        </w:tabs>
        <w:rPr>
          <w:rFonts w:ascii="宋体" w:hAnsi="宋体" w:cs="宋体"/>
          <w:b/>
          <w:szCs w:val="21"/>
          <w:highlight w:val="none"/>
        </w:rPr>
      </w:pPr>
      <w:r>
        <w:rPr>
          <w:highlight w:val="none"/>
        </w:rPr>
        <w:fldChar w:fldCharType="begin"/>
      </w:r>
      <w:r>
        <w:rPr>
          <w:highlight w:val="none"/>
        </w:rPr>
        <w:instrText xml:space="preserve">HYPERLINK \l "_Toc1718"</w:instrText>
      </w:r>
      <w:r>
        <w:rPr>
          <w:highlight w:val="none"/>
        </w:rPr>
        <w:fldChar w:fldCharType="separate"/>
      </w:r>
      <w:r>
        <w:rPr>
          <w:rFonts w:hint="eastAsia" w:ascii="宋体" w:hAnsi="宋体" w:cs="宋体"/>
          <w:b/>
          <w:szCs w:val="21"/>
          <w:highlight w:val="none"/>
          <w:lang w:eastAsia="zh-TW"/>
        </w:rPr>
        <w:t>投标文件目录表</w:t>
      </w:r>
      <w:r>
        <w:rPr>
          <w:rFonts w:hint="eastAsia" w:ascii="宋体" w:hAnsi="宋体" w:cs="宋体"/>
          <w:b/>
          <w:szCs w:val="21"/>
          <w:highlight w:val="none"/>
        </w:rPr>
        <w:tab/>
      </w:r>
      <w:r>
        <w:rPr>
          <w:rFonts w:hint="eastAsia" w:ascii="宋体" w:hAnsi="宋体" w:cs="宋体"/>
          <w:b/>
          <w:szCs w:val="21"/>
          <w:highlight w:val="none"/>
        </w:rPr>
        <w:fldChar w:fldCharType="begin"/>
      </w:r>
      <w:r>
        <w:rPr>
          <w:rFonts w:hint="eastAsia" w:ascii="宋体" w:hAnsi="宋体" w:cs="宋体"/>
          <w:b/>
          <w:szCs w:val="21"/>
          <w:highlight w:val="none"/>
        </w:rPr>
        <w:instrText xml:space="preserve"> PAGEREF _Toc1718 \h </w:instrText>
      </w:r>
      <w:r>
        <w:rPr>
          <w:rFonts w:hint="eastAsia" w:ascii="宋体" w:hAnsi="宋体" w:cs="宋体"/>
          <w:b/>
          <w:szCs w:val="21"/>
          <w:highlight w:val="none"/>
        </w:rPr>
        <w:fldChar w:fldCharType="separate"/>
      </w:r>
      <w:r>
        <w:rPr>
          <w:rFonts w:hint="eastAsia" w:ascii="宋体" w:hAnsi="宋体" w:cs="宋体"/>
          <w:b/>
          <w:szCs w:val="21"/>
          <w:highlight w:val="none"/>
        </w:rPr>
        <w:t>85</w:t>
      </w:r>
      <w:r>
        <w:rPr>
          <w:rFonts w:hint="eastAsia" w:ascii="宋体" w:hAnsi="宋体" w:cs="宋体"/>
          <w:b/>
          <w:szCs w:val="21"/>
          <w:highlight w:val="none"/>
        </w:rPr>
        <w:fldChar w:fldCharType="end"/>
      </w:r>
      <w:r>
        <w:rPr>
          <w:rFonts w:ascii="宋体" w:hAnsi="宋体" w:cs="宋体"/>
          <w:b/>
          <w:szCs w:val="21"/>
          <w:highlight w:val="none"/>
        </w:rPr>
        <w:fldChar w:fldCharType="end"/>
      </w:r>
    </w:p>
    <w:p>
      <w:pPr>
        <w:shd w:val="clear"/>
        <w:adjustRightInd w:val="0"/>
        <w:snapToGrid w:val="0"/>
        <w:spacing w:before="156" w:beforeLines="50" w:after="156" w:afterLines="50" w:line="360" w:lineRule="auto"/>
        <w:jc w:val="center"/>
        <w:outlineLvl w:val="0"/>
        <w:rPr>
          <w:rFonts w:ascii="Times New Roman" w:hAnsi="Times New Roman"/>
          <w:b/>
          <w:bCs/>
          <w:sz w:val="28"/>
          <w:szCs w:val="28"/>
          <w:highlight w:val="none"/>
        </w:rPr>
      </w:pPr>
      <w:r>
        <w:rPr>
          <w:rFonts w:hint="eastAsia" w:ascii="宋体" w:hAnsi="宋体" w:cs="宋体"/>
          <w:b/>
          <w:szCs w:val="21"/>
          <w:highlight w:val="none"/>
        </w:rPr>
        <w:fldChar w:fldCharType="end"/>
      </w:r>
      <w:bookmarkEnd w:id="151"/>
      <w:bookmarkStart w:id="0" w:name="_Toc11072"/>
      <w:r>
        <w:rPr>
          <w:rFonts w:hint="eastAsia" w:ascii="宋体" w:hAnsi="宋体" w:cs="宋体"/>
          <w:szCs w:val="21"/>
          <w:highlight w:val="none"/>
        </w:rPr>
        <w:br w:type="page"/>
      </w:r>
      <w:r>
        <w:rPr>
          <w:rFonts w:hint="eastAsia" w:ascii="Times New Roman" w:hAnsi="Times New Roman"/>
          <w:b/>
          <w:bCs/>
          <w:sz w:val="28"/>
          <w:szCs w:val="28"/>
          <w:highlight w:val="none"/>
        </w:rPr>
        <w:t xml:space="preserve">第一章  </w:t>
      </w:r>
      <w:bookmarkEnd w:id="0"/>
      <w:r>
        <w:rPr>
          <w:rFonts w:hint="eastAsia" w:ascii="Times New Roman" w:hAnsi="Times New Roman"/>
          <w:b/>
          <w:bCs/>
          <w:sz w:val="28"/>
          <w:szCs w:val="28"/>
          <w:highlight w:val="none"/>
        </w:rPr>
        <w:t>采购公告</w:t>
      </w:r>
    </w:p>
    <w:p>
      <w:pPr>
        <w:shd w:val="clear"/>
        <w:snapToGrid w:val="0"/>
        <w:spacing w:line="360" w:lineRule="auto"/>
        <w:ind w:firstLine="420" w:firstLineChars="200"/>
        <w:rPr>
          <w:rFonts w:ascii="宋体" w:hAnsi="宋体" w:cs="宋体"/>
          <w:bCs/>
          <w:szCs w:val="21"/>
          <w:highlight w:val="none"/>
        </w:rPr>
      </w:pPr>
      <w:r>
        <w:rPr>
          <w:rFonts w:hint="eastAsia" w:ascii="宋体" w:hAnsi="宋体" w:cs="宋体"/>
          <w:bCs/>
          <w:szCs w:val="21"/>
          <w:highlight w:val="none"/>
        </w:rPr>
        <w:t>广东必鼎工程项目管理有限公司</w:t>
      </w:r>
      <w:r>
        <w:rPr>
          <w:rFonts w:hint="eastAsia" w:ascii="宋体" w:hAnsi="宋体" w:cs="宋体"/>
          <w:szCs w:val="21"/>
          <w:highlight w:val="none"/>
        </w:rPr>
        <w:t>（以下简称“招标代理机构”）</w:t>
      </w:r>
      <w:r>
        <w:rPr>
          <w:rFonts w:hint="eastAsia" w:ascii="宋体" w:hAnsi="宋体" w:cs="宋体"/>
          <w:bCs/>
          <w:szCs w:val="21"/>
          <w:highlight w:val="none"/>
        </w:rPr>
        <w:t>受</w:t>
      </w:r>
      <w:r>
        <w:rPr>
          <w:rFonts w:hint="eastAsia" w:ascii="宋体" w:hAnsi="宋体" w:cs="宋体"/>
          <w:szCs w:val="21"/>
          <w:highlight w:val="none"/>
        </w:rPr>
        <w:t>佛山市千灯湖创投小镇投资开发有限公司（以下简称“招标人”）</w:t>
      </w:r>
      <w:r>
        <w:rPr>
          <w:rFonts w:hint="eastAsia" w:ascii="宋体" w:hAnsi="宋体" w:cs="宋体"/>
          <w:bCs/>
          <w:szCs w:val="21"/>
          <w:highlight w:val="none"/>
        </w:rPr>
        <w:t>委托，对</w:t>
      </w:r>
      <w:r>
        <w:rPr>
          <w:rFonts w:hint="eastAsia" w:ascii="宋体" w:hAnsi="宋体" w:cs="宋体"/>
          <w:szCs w:val="21"/>
          <w:highlight w:val="none"/>
        </w:rPr>
        <w:t>千灯湖创投特色小镇核心区物业管理服务</w:t>
      </w:r>
      <w:r>
        <w:rPr>
          <w:rFonts w:hint="eastAsia" w:ascii="宋体" w:hAnsi="宋体" w:cs="宋体"/>
          <w:bCs/>
          <w:szCs w:val="21"/>
          <w:highlight w:val="none"/>
        </w:rPr>
        <w:t>进行公开招标，</w:t>
      </w:r>
      <w:r>
        <w:rPr>
          <w:rFonts w:hint="eastAsia" w:ascii="宋体" w:hAnsi="宋体" w:cs="宋体"/>
          <w:bCs/>
          <w:szCs w:val="21"/>
          <w:highlight w:val="none"/>
          <w:lang w:val="zh-CN"/>
        </w:rPr>
        <w:t>欢迎符合资格条件</w:t>
      </w:r>
      <w:r>
        <w:rPr>
          <w:rFonts w:hint="eastAsia" w:ascii="宋体" w:hAnsi="宋体" w:cs="宋体"/>
          <w:bCs/>
          <w:szCs w:val="21"/>
          <w:highlight w:val="none"/>
        </w:rPr>
        <w:t>的供应商投标。</w:t>
      </w:r>
    </w:p>
    <w:p>
      <w:pPr>
        <w:numPr>
          <w:ilvl w:val="0"/>
          <w:numId w:val="2"/>
        </w:numPr>
        <w:shd w:val="clear"/>
        <w:snapToGrid w:val="0"/>
        <w:spacing w:line="360" w:lineRule="auto"/>
        <w:ind w:firstLine="0"/>
        <w:rPr>
          <w:rFonts w:ascii="宋体" w:hAnsi="宋体" w:cs="宋体"/>
          <w:bCs/>
          <w:sz w:val="21"/>
          <w:szCs w:val="21"/>
          <w:highlight w:val="none"/>
        </w:rPr>
      </w:pPr>
      <w:r>
        <w:rPr>
          <w:rFonts w:hint="eastAsia" w:ascii="宋体" w:hAnsi="宋体" w:cs="宋体"/>
          <w:bCs/>
          <w:sz w:val="21"/>
          <w:szCs w:val="21"/>
          <w:highlight w:val="none"/>
        </w:rPr>
        <w:t>项目编号：</w:t>
      </w:r>
      <w:r>
        <w:rPr>
          <w:rFonts w:hint="eastAsia" w:ascii="宋体" w:hAnsi="宋体" w:cs="宋体"/>
          <w:sz w:val="21"/>
          <w:szCs w:val="21"/>
          <w:highlight w:val="none"/>
        </w:rPr>
        <w:t xml:space="preserve">BDGZ2023024  </w:t>
      </w:r>
    </w:p>
    <w:p>
      <w:pPr>
        <w:numPr>
          <w:ilvl w:val="0"/>
          <w:numId w:val="2"/>
        </w:numPr>
        <w:shd w:val="clear"/>
        <w:snapToGrid w:val="0"/>
        <w:spacing w:line="360" w:lineRule="auto"/>
        <w:ind w:firstLine="0"/>
        <w:rPr>
          <w:rFonts w:ascii="宋体" w:hAnsi="宋体" w:cs="宋体"/>
          <w:sz w:val="21"/>
          <w:szCs w:val="21"/>
          <w:highlight w:val="none"/>
        </w:rPr>
      </w:pPr>
      <w:r>
        <w:rPr>
          <w:rFonts w:hint="eastAsia" w:ascii="宋体" w:hAnsi="宋体" w:cs="宋体"/>
          <w:bCs/>
          <w:sz w:val="21"/>
          <w:szCs w:val="21"/>
          <w:highlight w:val="none"/>
        </w:rPr>
        <w:t>项目名称：</w:t>
      </w:r>
      <w:r>
        <w:rPr>
          <w:rFonts w:hint="eastAsia" w:ascii="宋体" w:hAnsi="宋体" w:cs="宋体"/>
          <w:sz w:val="21"/>
          <w:szCs w:val="21"/>
          <w:highlight w:val="none"/>
        </w:rPr>
        <w:t>千灯湖创投特色小镇核心区物业管理服务</w:t>
      </w:r>
    </w:p>
    <w:p>
      <w:pPr>
        <w:numPr>
          <w:ilvl w:val="0"/>
          <w:numId w:val="2"/>
        </w:numPr>
        <w:shd w:val="clear"/>
        <w:snapToGrid w:val="0"/>
        <w:spacing w:line="360" w:lineRule="auto"/>
        <w:ind w:firstLine="0"/>
        <w:rPr>
          <w:rFonts w:hint="eastAsia" w:eastAsia="宋体"/>
          <w:sz w:val="21"/>
          <w:szCs w:val="21"/>
          <w:highlight w:val="none"/>
          <w:lang w:eastAsia="zh-CN"/>
        </w:rPr>
      </w:pPr>
      <w:r>
        <w:rPr>
          <w:rFonts w:hint="eastAsia" w:ascii="宋体" w:hAnsi="宋体" w:cs="宋体"/>
          <w:bCs/>
          <w:sz w:val="21"/>
          <w:szCs w:val="21"/>
          <w:highlight w:val="none"/>
        </w:rPr>
        <w:t>采购项目预算金额（元）：</w:t>
      </w:r>
      <w:r>
        <w:rPr>
          <w:rFonts w:hint="eastAsia" w:ascii="宋体" w:hAnsi="宋体" w:cs="宋体"/>
          <w:bCs/>
          <w:sz w:val="21"/>
          <w:szCs w:val="21"/>
          <w:highlight w:val="none"/>
          <w:lang w:eastAsia="zh-CN"/>
        </w:rPr>
        <w:t>7,895,161.64</w:t>
      </w:r>
    </w:p>
    <w:p>
      <w:pPr>
        <w:numPr>
          <w:ilvl w:val="0"/>
          <w:numId w:val="2"/>
        </w:numPr>
        <w:shd w:val="clear"/>
        <w:snapToGrid w:val="0"/>
        <w:spacing w:line="360" w:lineRule="auto"/>
        <w:ind w:firstLine="0"/>
        <w:rPr>
          <w:sz w:val="21"/>
          <w:szCs w:val="21"/>
          <w:highlight w:val="none"/>
        </w:rPr>
      </w:pPr>
      <w:r>
        <w:rPr>
          <w:rFonts w:hint="eastAsia" w:ascii="宋体" w:hAnsi="宋体" w:eastAsia="宋体" w:cs="宋体"/>
          <w:i w:val="0"/>
          <w:caps w:val="0"/>
          <w:color w:val="333333"/>
          <w:spacing w:val="0"/>
          <w:sz w:val="21"/>
          <w:szCs w:val="21"/>
          <w:highlight w:val="none"/>
          <w:shd w:val="clear" w:fill="FFFFFF"/>
        </w:rPr>
        <w:t>采购方式：</w:t>
      </w:r>
      <w:r>
        <w:rPr>
          <w:rFonts w:hint="eastAsia" w:ascii="宋体" w:hAnsi="宋体" w:cs="宋体"/>
          <w:i w:val="0"/>
          <w:caps w:val="0"/>
          <w:color w:val="333333"/>
          <w:spacing w:val="0"/>
          <w:sz w:val="21"/>
          <w:szCs w:val="21"/>
          <w:highlight w:val="none"/>
          <w:shd w:val="clear" w:fill="FFFFFF"/>
          <w:lang w:eastAsia="zh-CN"/>
        </w:rPr>
        <w:t>公开招标</w:t>
      </w:r>
    </w:p>
    <w:p>
      <w:pPr>
        <w:numPr>
          <w:ilvl w:val="0"/>
          <w:numId w:val="2"/>
        </w:numPr>
        <w:shd w:val="clear"/>
        <w:snapToGrid w:val="0"/>
        <w:spacing w:line="360" w:lineRule="auto"/>
        <w:ind w:firstLine="0"/>
        <w:rPr>
          <w:szCs w:val="21"/>
          <w:highlight w:val="none"/>
        </w:rPr>
      </w:pPr>
      <w:r>
        <w:rPr>
          <w:rFonts w:hint="eastAsia"/>
          <w:color w:val="000000"/>
          <w:kern w:val="0"/>
          <w:sz w:val="21"/>
          <w:szCs w:val="21"/>
          <w:highlight w:val="none"/>
          <w:lang w:eastAsia="zh-CN"/>
        </w:rPr>
        <w:t>采购</w:t>
      </w:r>
      <w:r>
        <w:rPr>
          <w:rFonts w:hint="eastAsia" w:ascii="Calibri" w:hAnsi="Calibri"/>
          <w:color w:val="000000"/>
          <w:kern w:val="0"/>
          <w:sz w:val="21"/>
          <w:szCs w:val="21"/>
          <w:highlight w:val="none"/>
          <w:lang w:eastAsia="zh-CN"/>
        </w:rPr>
        <w:t>类</w:t>
      </w:r>
      <w:r>
        <w:rPr>
          <w:rFonts w:hint="eastAsia"/>
          <w:color w:val="000000"/>
          <w:kern w:val="0"/>
          <w:sz w:val="21"/>
          <w:szCs w:val="21"/>
          <w:highlight w:val="none"/>
          <w:lang w:eastAsia="zh-CN"/>
        </w:rPr>
        <w:t>别：服务类</w:t>
      </w:r>
    </w:p>
    <w:p>
      <w:pPr>
        <w:numPr>
          <w:ilvl w:val="0"/>
          <w:numId w:val="2"/>
        </w:numPr>
        <w:shd w:val="clear"/>
        <w:snapToGrid w:val="0"/>
        <w:spacing w:line="360" w:lineRule="auto"/>
        <w:ind w:firstLine="0"/>
        <w:rPr>
          <w:rFonts w:ascii="宋体" w:hAnsi="宋体" w:cs="宋体"/>
          <w:bCs/>
          <w:szCs w:val="21"/>
          <w:highlight w:val="none"/>
        </w:rPr>
      </w:pPr>
      <w:r>
        <w:rPr>
          <w:rFonts w:hint="eastAsia" w:ascii="宋体" w:hAnsi="宋体" w:cs="宋体"/>
          <w:bCs/>
          <w:szCs w:val="21"/>
          <w:highlight w:val="none"/>
        </w:rPr>
        <w:t>采购项目内容及需求：</w:t>
      </w:r>
    </w:p>
    <w:p>
      <w:pPr>
        <w:numPr>
          <w:ilvl w:val="0"/>
          <w:numId w:val="3"/>
        </w:numPr>
        <w:shd w:val="clear"/>
        <w:tabs>
          <w:tab w:val="left" w:pos="709"/>
        </w:tabs>
        <w:snapToGrid w:val="0"/>
        <w:spacing w:line="360" w:lineRule="auto"/>
        <w:ind w:left="709" w:hanging="425"/>
        <w:rPr>
          <w:rFonts w:ascii="宋体" w:hAnsi="宋体" w:cs="宋体"/>
          <w:bCs/>
          <w:szCs w:val="21"/>
          <w:highlight w:val="none"/>
        </w:rPr>
      </w:pPr>
      <w:r>
        <w:rPr>
          <w:rFonts w:hint="eastAsia" w:ascii="宋体" w:hAnsi="宋体" w:cs="宋体"/>
          <w:bCs/>
          <w:szCs w:val="21"/>
          <w:highlight w:val="none"/>
        </w:rPr>
        <w:t>项目内容：</w:t>
      </w:r>
    </w:p>
    <w:tbl>
      <w:tblPr>
        <w:tblStyle w:val="22"/>
        <w:tblW w:w="8378" w:type="dxa"/>
        <w:tblInd w:w="46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04"/>
        <w:gridCol w:w="1022"/>
        <w:gridCol w:w="2573"/>
        <w:gridCol w:w="20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5" w:hRule="atLeast"/>
        </w:trPr>
        <w:tc>
          <w:tcPr>
            <w:tcW w:w="2704" w:type="dxa"/>
            <w:shd w:val="clear" w:color="auto" w:fill="EEECE1"/>
            <w:vAlign w:val="center"/>
          </w:tcPr>
          <w:p>
            <w:pPr>
              <w:shd w:val="clear"/>
              <w:spacing w:line="360" w:lineRule="auto"/>
              <w:jc w:val="center"/>
              <w:rPr>
                <w:rFonts w:ascii="宋体" w:hAnsi="宋体" w:cs="宋体"/>
                <w:b/>
                <w:szCs w:val="21"/>
                <w:highlight w:val="none"/>
              </w:rPr>
            </w:pPr>
            <w:r>
              <w:rPr>
                <w:rFonts w:hint="eastAsia" w:ascii="宋体" w:hAnsi="宋体" w:cs="宋体"/>
                <w:b/>
                <w:szCs w:val="21"/>
                <w:highlight w:val="none"/>
              </w:rPr>
              <w:t>采购内容</w:t>
            </w:r>
          </w:p>
        </w:tc>
        <w:tc>
          <w:tcPr>
            <w:tcW w:w="1022" w:type="dxa"/>
            <w:shd w:val="clear" w:color="auto" w:fill="EEECE1"/>
            <w:vAlign w:val="center"/>
          </w:tcPr>
          <w:p>
            <w:pPr>
              <w:shd w:val="clear"/>
              <w:spacing w:line="360" w:lineRule="auto"/>
              <w:jc w:val="center"/>
              <w:rPr>
                <w:rFonts w:ascii="宋体" w:hAnsi="宋体" w:cs="宋体"/>
                <w:b/>
                <w:szCs w:val="21"/>
                <w:highlight w:val="none"/>
              </w:rPr>
            </w:pPr>
            <w:r>
              <w:rPr>
                <w:rFonts w:hint="eastAsia" w:ascii="宋体" w:hAnsi="宋体" w:cs="宋体"/>
                <w:b/>
                <w:szCs w:val="21"/>
                <w:highlight w:val="none"/>
              </w:rPr>
              <w:t>数量</w:t>
            </w:r>
          </w:p>
        </w:tc>
        <w:tc>
          <w:tcPr>
            <w:tcW w:w="2573" w:type="dxa"/>
            <w:shd w:val="clear" w:color="auto" w:fill="EEECE1"/>
            <w:vAlign w:val="center"/>
          </w:tcPr>
          <w:p>
            <w:pPr>
              <w:shd w:val="clear"/>
              <w:spacing w:line="360" w:lineRule="auto"/>
              <w:jc w:val="center"/>
              <w:rPr>
                <w:rFonts w:ascii="宋体" w:hAnsi="宋体" w:cs="宋体"/>
                <w:b/>
                <w:szCs w:val="21"/>
                <w:highlight w:val="none"/>
              </w:rPr>
            </w:pPr>
            <w:r>
              <w:rPr>
                <w:rFonts w:hint="eastAsia" w:ascii="宋体" w:hAnsi="宋体" w:cs="宋体"/>
                <w:b/>
                <w:szCs w:val="21"/>
                <w:highlight w:val="none"/>
              </w:rPr>
              <w:t>服务期</w:t>
            </w:r>
          </w:p>
        </w:tc>
        <w:tc>
          <w:tcPr>
            <w:tcW w:w="2079" w:type="dxa"/>
            <w:shd w:val="clear" w:color="auto" w:fill="EEECE1"/>
            <w:vAlign w:val="center"/>
          </w:tcPr>
          <w:p>
            <w:pPr>
              <w:shd w:val="clear"/>
              <w:jc w:val="center"/>
              <w:rPr>
                <w:rFonts w:ascii="宋体" w:hAnsi="宋体" w:cs="宋体"/>
                <w:b/>
                <w:szCs w:val="21"/>
                <w:highlight w:val="none"/>
              </w:rPr>
            </w:pPr>
            <w:r>
              <w:rPr>
                <w:rFonts w:hint="eastAsia" w:ascii="宋体" w:hAnsi="宋体" w:cs="宋体"/>
                <w:b/>
                <w:szCs w:val="21"/>
                <w:highlight w:val="none"/>
              </w:rPr>
              <w:t>最高限价</w:t>
            </w:r>
          </w:p>
          <w:p>
            <w:pPr>
              <w:shd w:val="clear"/>
              <w:jc w:val="center"/>
              <w:rPr>
                <w:rFonts w:ascii="宋体" w:hAnsi="宋体" w:cs="宋体"/>
                <w:b/>
                <w:szCs w:val="21"/>
                <w:highlight w:val="none"/>
              </w:rPr>
            </w:pPr>
            <w:r>
              <w:rPr>
                <w:rFonts w:hint="eastAsia" w:ascii="宋体" w:hAnsi="宋体" w:cs="宋体"/>
                <w:b/>
                <w:szCs w:val="21"/>
                <w:highlight w:val="none"/>
              </w:rPr>
              <w:t>（人民币 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4" w:hRule="atLeast"/>
        </w:trPr>
        <w:tc>
          <w:tcPr>
            <w:tcW w:w="2704" w:type="dxa"/>
            <w:vAlign w:val="center"/>
          </w:tcPr>
          <w:p>
            <w:pPr>
              <w:shd w:val="clear"/>
              <w:spacing w:line="360" w:lineRule="auto"/>
              <w:jc w:val="center"/>
              <w:rPr>
                <w:rFonts w:ascii="宋体" w:hAnsi="宋体" w:cs="宋体"/>
                <w:szCs w:val="21"/>
                <w:highlight w:val="none"/>
              </w:rPr>
            </w:pPr>
            <w:r>
              <w:rPr>
                <w:rFonts w:hint="eastAsia" w:ascii="宋体" w:hAnsi="宋体" w:cs="宋体"/>
                <w:szCs w:val="21"/>
                <w:highlight w:val="none"/>
              </w:rPr>
              <w:t>千灯湖创投特色小镇核心区物业管理服务</w:t>
            </w:r>
          </w:p>
        </w:tc>
        <w:tc>
          <w:tcPr>
            <w:tcW w:w="1022" w:type="dxa"/>
            <w:vAlign w:val="center"/>
          </w:tcPr>
          <w:p>
            <w:pPr>
              <w:shd w:val="clear"/>
              <w:spacing w:line="360" w:lineRule="auto"/>
              <w:jc w:val="center"/>
              <w:rPr>
                <w:rFonts w:ascii="宋体" w:hAnsi="宋体" w:cs="宋体"/>
                <w:szCs w:val="21"/>
                <w:highlight w:val="none"/>
              </w:rPr>
            </w:pPr>
            <w:r>
              <w:rPr>
                <w:rFonts w:hint="eastAsia" w:ascii="宋体" w:hAnsi="宋体" w:cs="宋体"/>
                <w:szCs w:val="21"/>
                <w:highlight w:val="none"/>
              </w:rPr>
              <w:t>一项</w:t>
            </w:r>
          </w:p>
        </w:tc>
        <w:tc>
          <w:tcPr>
            <w:tcW w:w="2573" w:type="dxa"/>
            <w:vAlign w:val="center"/>
          </w:tcPr>
          <w:p>
            <w:pPr>
              <w:pStyle w:val="61"/>
              <w:shd w:val="clear"/>
              <w:spacing w:line="440" w:lineRule="exact"/>
              <w:ind w:firstLine="120"/>
              <w:rPr>
                <w:rFonts w:ascii="宋体" w:hAnsi="宋体" w:cs="宋体"/>
                <w:snapToGrid/>
                <w:spacing w:val="0"/>
                <w:kern w:val="2"/>
                <w:sz w:val="21"/>
                <w:szCs w:val="21"/>
                <w:highlight w:val="none"/>
              </w:rPr>
            </w:pPr>
            <w:r>
              <w:rPr>
                <w:rFonts w:hint="eastAsia" w:ascii="宋体" w:hAnsi="宋体" w:cs="宋体"/>
                <w:snapToGrid/>
                <w:spacing w:val="0"/>
                <w:kern w:val="2"/>
                <w:sz w:val="21"/>
                <w:szCs w:val="21"/>
                <w:highlight w:val="none"/>
              </w:rPr>
              <w:t>二年（具体服务起始时间以招标人通知为准）</w:t>
            </w:r>
          </w:p>
        </w:tc>
        <w:tc>
          <w:tcPr>
            <w:tcW w:w="2079" w:type="dxa"/>
            <w:vAlign w:val="center"/>
          </w:tcPr>
          <w:p>
            <w:pPr>
              <w:pStyle w:val="61"/>
              <w:shd w:val="clear"/>
              <w:spacing w:line="440" w:lineRule="exact"/>
              <w:ind w:firstLine="120"/>
              <w:rPr>
                <w:rFonts w:hint="eastAsia" w:ascii="宋体" w:hAnsi="宋体" w:eastAsia="宋体" w:cs="宋体"/>
                <w:snapToGrid/>
                <w:spacing w:val="0"/>
                <w:kern w:val="2"/>
                <w:sz w:val="21"/>
                <w:szCs w:val="21"/>
                <w:highlight w:val="none"/>
                <w:lang w:eastAsia="zh-CN"/>
              </w:rPr>
            </w:pPr>
            <w:r>
              <w:rPr>
                <w:rFonts w:hint="eastAsia" w:ascii="宋体" w:hAnsi="宋体" w:cs="宋体"/>
                <w:snapToGrid/>
                <w:spacing w:val="0"/>
                <w:kern w:val="2"/>
                <w:sz w:val="21"/>
                <w:szCs w:val="21"/>
                <w:highlight w:val="none"/>
                <w:lang w:eastAsia="zh-CN"/>
              </w:rPr>
              <w:t>7,895,161.64</w:t>
            </w:r>
          </w:p>
        </w:tc>
      </w:tr>
    </w:tbl>
    <w:p>
      <w:pPr>
        <w:numPr>
          <w:ilvl w:val="0"/>
          <w:numId w:val="3"/>
        </w:numPr>
        <w:shd w:val="clear"/>
        <w:tabs>
          <w:tab w:val="left" w:pos="567"/>
        </w:tabs>
        <w:snapToGrid w:val="0"/>
        <w:spacing w:line="360" w:lineRule="auto"/>
        <w:ind w:left="709" w:hanging="425"/>
        <w:rPr>
          <w:rFonts w:ascii="宋体" w:hAnsi="宋体" w:cs="宋体"/>
          <w:bCs/>
          <w:szCs w:val="21"/>
          <w:highlight w:val="none"/>
        </w:rPr>
      </w:pPr>
      <w:r>
        <w:rPr>
          <w:rFonts w:hint="eastAsia" w:ascii="宋体" w:hAnsi="宋体" w:cs="宋体"/>
          <w:bCs/>
          <w:szCs w:val="21"/>
          <w:highlight w:val="none"/>
        </w:rPr>
        <w:t>项目技术规格、参数及要求：详见本招标文件第三章《用户需求书》。</w:t>
      </w:r>
    </w:p>
    <w:p>
      <w:pPr>
        <w:numPr>
          <w:ilvl w:val="0"/>
          <w:numId w:val="2"/>
        </w:numPr>
        <w:shd w:val="clear"/>
        <w:snapToGrid w:val="0"/>
        <w:spacing w:line="360" w:lineRule="auto"/>
        <w:ind w:firstLine="0"/>
        <w:rPr>
          <w:rFonts w:ascii="宋体" w:hAnsi="宋体" w:cs="宋体"/>
          <w:bCs/>
          <w:szCs w:val="21"/>
          <w:highlight w:val="none"/>
        </w:rPr>
      </w:pPr>
      <w:r>
        <w:rPr>
          <w:rFonts w:hint="eastAsia" w:ascii="宋体" w:hAnsi="宋体" w:cs="宋体"/>
          <w:bCs/>
          <w:szCs w:val="21"/>
          <w:highlight w:val="none"/>
        </w:rPr>
        <w:t>投标人资格：</w:t>
      </w:r>
    </w:p>
    <w:p>
      <w:pPr>
        <w:numPr>
          <w:ilvl w:val="0"/>
          <w:numId w:val="4"/>
        </w:numPr>
        <w:shd w:val="clear"/>
        <w:snapToGrid w:val="0"/>
        <w:spacing w:line="360" w:lineRule="auto"/>
        <w:ind w:hanging="5"/>
        <w:rPr>
          <w:rFonts w:ascii="宋体" w:hAnsi="宋体" w:cs="宋体"/>
          <w:bCs/>
          <w:szCs w:val="21"/>
          <w:highlight w:val="none"/>
        </w:rPr>
      </w:pPr>
      <w:r>
        <w:rPr>
          <w:rFonts w:hint="eastAsia" w:ascii="宋体" w:hAnsi="宋体" w:cs="宋体"/>
          <w:bCs/>
          <w:szCs w:val="21"/>
          <w:highlight w:val="none"/>
        </w:rPr>
        <w:t>必须是具有独立承担民事责任能力的在中华人民共和国境内注册的法人（提供</w:t>
      </w:r>
      <w:r>
        <w:rPr>
          <w:rFonts w:hint="eastAsia" w:ascii="宋体" w:hAnsi="宋体" w:cs="宋体"/>
          <w:kern w:val="0"/>
          <w:szCs w:val="21"/>
          <w:highlight w:val="none"/>
        </w:rPr>
        <w:t>有效的营业执照</w:t>
      </w:r>
      <w:r>
        <w:rPr>
          <w:rFonts w:hint="eastAsia" w:ascii="宋体" w:hAnsi="宋体" w:cs="宋体"/>
          <w:bCs/>
          <w:szCs w:val="21"/>
          <w:highlight w:val="none"/>
        </w:rPr>
        <w:t>复印件）。</w:t>
      </w:r>
    </w:p>
    <w:p>
      <w:pPr>
        <w:numPr>
          <w:ilvl w:val="0"/>
          <w:numId w:val="4"/>
        </w:numPr>
        <w:shd w:val="clear"/>
        <w:snapToGrid w:val="0"/>
        <w:spacing w:line="360" w:lineRule="auto"/>
        <w:ind w:hanging="5"/>
        <w:rPr>
          <w:rFonts w:ascii="宋体" w:hAnsi="宋体" w:cs="宋体"/>
          <w:bCs/>
          <w:szCs w:val="21"/>
          <w:highlight w:val="none"/>
        </w:rPr>
      </w:pPr>
      <w:r>
        <w:rPr>
          <w:rFonts w:hint="eastAsia" w:ascii="宋体" w:hAnsi="宋体" w:cs="宋体"/>
          <w:bCs/>
          <w:szCs w:val="21"/>
          <w:highlight w:val="none"/>
        </w:rPr>
        <w:t>财务会计制度，须提供下列任一项证明材料：</w:t>
      </w:r>
    </w:p>
    <w:p>
      <w:pPr>
        <w:numPr>
          <w:ilvl w:val="0"/>
          <w:numId w:val="5"/>
        </w:numPr>
        <w:shd w:val="clear"/>
        <w:snapToGrid w:val="0"/>
        <w:spacing w:line="360" w:lineRule="auto"/>
        <w:ind w:hanging="5"/>
        <w:rPr>
          <w:rFonts w:ascii="宋体" w:hAnsi="宋体" w:cs="宋体"/>
          <w:bCs/>
          <w:szCs w:val="21"/>
          <w:highlight w:val="none"/>
        </w:rPr>
      </w:pPr>
      <w:r>
        <w:rPr>
          <w:rFonts w:hint="eastAsia" w:ascii="宋体" w:hAnsi="宋体" w:cs="宋体"/>
          <w:bCs/>
          <w:szCs w:val="21"/>
          <w:highlight w:val="none"/>
        </w:rPr>
        <w:t>提供2021年度或2022年度经第三方会计师事务所出具财务报告（包括资产负债表、利润表、现金流量表、所有者权益变动表及其附注），并能清晰显示第三方会计师事务所的印章和注册会计师签字盖章，且能反映审计结论(要求：审计报告由第三方会计师事务所或其它合法审计机构出具，须包含会计师事务所或审计机构的盖章页)。</w:t>
      </w:r>
    </w:p>
    <w:p>
      <w:pPr>
        <w:numPr>
          <w:ilvl w:val="0"/>
          <w:numId w:val="5"/>
        </w:numPr>
        <w:shd w:val="clear"/>
        <w:snapToGrid w:val="0"/>
        <w:spacing w:line="360" w:lineRule="auto"/>
        <w:ind w:hanging="5"/>
        <w:rPr>
          <w:rFonts w:ascii="宋体" w:hAnsi="宋体" w:cs="宋体"/>
          <w:bCs/>
          <w:szCs w:val="21"/>
          <w:highlight w:val="none"/>
        </w:rPr>
      </w:pPr>
      <w:r>
        <w:rPr>
          <w:rFonts w:hint="eastAsia" w:ascii="宋体" w:hAnsi="宋体" w:cs="宋体"/>
          <w:bCs/>
          <w:szCs w:val="21"/>
          <w:highlight w:val="none"/>
        </w:rPr>
        <w:t>基本开户银行出具的资信证明【要求：提供投标截止之日前6个月内（含投标截止时间当月）任意一个月出具的资信证明。如资信证明不能体现基本开户账户的，应另附开户许可证（无开户许可证的，可提供由银行开具的《基本存款账户信息》（公户账户主档）或其他能反应资信证明是基本开户银行出具的证明材料】。</w:t>
      </w:r>
    </w:p>
    <w:p>
      <w:pPr>
        <w:numPr>
          <w:ilvl w:val="0"/>
          <w:numId w:val="4"/>
        </w:numPr>
        <w:shd w:val="clear"/>
        <w:snapToGrid w:val="0"/>
        <w:spacing w:line="360" w:lineRule="auto"/>
        <w:ind w:hanging="5"/>
        <w:rPr>
          <w:rFonts w:ascii="宋体" w:hAnsi="宋体" w:cs="宋体"/>
          <w:bCs/>
          <w:szCs w:val="21"/>
          <w:highlight w:val="none"/>
        </w:rPr>
      </w:pPr>
      <w:r>
        <w:rPr>
          <w:rFonts w:hint="eastAsia" w:ascii="宋体" w:hAnsi="宋体" w:cs="宋体"/>
          <w:bCs/>
          <w:szCs w:val="21"/>
          <w:highlight w:val="none"/>
        </w:rPr>
        <w:t>提供投标截止日前6个月内（含投标截止时间当月）任意1个月依法缴纳税收和社会保障资金的相关材料。如依法免税或不需要缴纳社会保障资金的，提供相应证明材料。</w:t>
      </w:r>
    </w:p>
    <w:p>
      <w:pPr>
        <w:numPr>
          <w:ilvl w:val="0"/>
          <w:numId w:val="4"/>
        </w:numPr>
        <w:shd w:val="clear"/>
        <w:snapToGrid w:val="0"/>
        <w:spacing w:line="360" w:lineRule="auto"/>
        <w:ind w:hanging="5"/>
        <w:rPr>
          <w:rFonts w:ascii="宋体" w:hAnsi="宋体" w:cs="宋体"/>
          <w:bCs/>
          <w:szCs w:val="21"/>
          <w:highlight w:val="none"/>
        </w:rPr>
      </w:pPr>
      <w:r>
        <w:rPr>
          <w:rFonts w:hint="eastAsia" w:ascii="宋体" w:hAnsi="宋体" w:cs="宋体"/>
          <w:bCs/>
          <w:szCs w:val="21"/>
          <w:highlight w:val="none"/>
        </w:rPr>
        <w:t>履行合同所必需的设备和专业技术能力的书面声明（提供《投标人资格声明函》）。</w:t>
      </w:r>
    </w:p>
    <w:p>
      <w:pPr>
        <w:numPr>
          <w:ilvl w:val="0"/>
          <w:numId w:val="4"/>
        </w:numPr>
        <w:shd w:val="clear"/>
        <w:snapToGrid w:val="0"/>
        <w:spacing w:line="360" w:lineRule="auto"/>
        <w:ind w:hanging="5"/>
        <w:rPr>
          <w:rFonts w:ascii="宋体" w:hAnsi="宋体" w:cs="宋体"/>
          <w:bCs/>
          <w:szCs w:val="21"/>
          <w:highlight w:val="none"/>
        </w:rPr>
      </w:pPr>
      <w:r>
        <w:rPr>
          <w:rFonts w:hint="eastAsia" w:ascii="宋体" w:hAnsi="宋体" w:cs="宋体"/>
          <w:bCs/>
          <w:szCs w:val="21"/>
          <w:highlight w:val="none"/>
        </w:rPr>
        <w:t>参与本项目采购活动前三年内，在经营活动中没有重大违法记录的书面声明（提供《投标人资格声明函》）。</w:t>
      </w:r>
    </w:p>
    <w:p>
      <w:pPr>
        <w:numPr>
          <w:ilvl w:val="0"/>
          <w:numId w:val="4"/>
        </w:numPr>
        <w:shd w:val="clear"/>
        <w:snapToGrid w:val="0"/>
        <w:spacing w:line="360" w:lineRule="auto"/>
        <w:ind w:hanging="5"/>
        <w:rPr>
          <w:rFonts w:ascii="宋体" w:hAnsi="宋体" w:cs="宋体"/>
          <w:bCs/>
          <w:szCs w:val="21"/>
          <w:highlight w:val="none"/>
        </w:rPr>
      </w:pPr>
      <w:r>
        <w:rPr>
          <w:rFonts w:hint="eastAsia" w:ascii="宋体" w:hAnsi="宋体" w:cs="宋体"/>
          <w:bCs/>
          <w:szCs w:val="21"/>
          <w:highlight w:val="none"/>
        </w:rPr>
        <w:t>未被列入“信用中国”网站(www.creditchina.gov.cn)“记录失信被执行人或重大税收违法案件当事人名单或政府采购严重违法失信行为”记录名单。【以招标代理机构于投标截止日当天在“信用中国”网站（www.creditchina.gov.cn）查询结果为准，如相关失信记录已失效，供应商需提供相关证明资料】。</w:t>
      </w:r>
    </w:p>
    <w:p>
      <w:pPr>
        <w:numPr>
          <w:ilvl w:val="0"/>
          <w:numId w:val="4"/>
        </w:numPr>
        <w:shd w:val="clear"/>
        <w:snapToGrid w:val="0"/>
        <w:spacing w:line="360" w:lineRule="auto"/>
        <w:ind w:hanging="5"/>
        <w:rPr>
          <w:rFonts w:ascii="宋体" w:hAnsi="宋体" w:cs="宋体"/>
          <w:bCs/>
          <w:szCs w:val="21"/>
          <w:highlight w:val="none"/>
        </w:rPr>
      </w:pPr>
      <w:r>
        <w:rPr>
          <w:rFonts w:hint="eastAsia" w:ascii="宋体" w:hAnsi="宋体" w:cs="宋体"/>
          <w:szCs w:val="21"/>
          <w:highlight w:val="none"/>
        </w:rPr>
        <w:t>单位负责人为同一人或者存在直接控股、管理关系的不同供应商，不得同时参加本采购项目投标。为本项目提供整体设计、规范编制或者项目管理、监理、检测等服务的供应商，不得再参与本项目投标。（提供</w:t>
      </w:r>
      <w:r>
        <w:rPr>
          <w:rFonts w:hint="eastAsia" w:ascii="宋体" w:hAnsi="宋体" w:cs="宋体"/>
          <w:bCs/>
          <w:szCs w:val="21"/>
          <w:highlight w:val="none"/>
        </w:rPr>
        <w:t>《投标人资格声明函》</w:t>
      </w:r>
      <w:r>
        <w:rPr>
          <w:rFonts w:hint="eastAsia" w:ascii="宋体" w:hAnsi="宋体" w:cs="宋体"/>
          <w:szCs w:val="21"/>
          <w:highlight w:val="none"/>
        </w:rPr>
        <w:t>）</w:t>
      </w:r>
    </w:p>
    <w:p>
      <w:pPr>
        <w:numPr>
          <w:ilvl w:val="0"/>
          <w:numId w:val="4"/>
        </w:numPr>
        <w:shd w:val="clear"/>
        <w:snapToGrid w:val="0"/>
        <w:spacing w:line="360" w:lineRule="auto"/>
        <w:ind w:hanging="5"/>
        <w:rPr>
          <w:rFonts w:ascii="宋体" w:hAnsi="宋体" w:cs="宋体"/>
          <w:bCs/>
          <w:szCs w:val="21"/>
          <w:highlight w:val="none"/>
        </w:rPr>
      </w:pPr>
      <w:r>
        <w:rPr>
          <w:rFonts w:hint="eastAsia" w:ascii="宋体" w:hAnsi="宋体" w:cs="宋体"/>
          <w:bCs/>
          <w:szCs w:val="21"/>
          <w:highlight w:val="none"/>
        </w:rPr>
        <w:t>本项目不接受联合体投标。</w:t>
      </w:r>
    </w:p>
    <w:p>
      <w:pPr>
        <w:numPr>
          <w:ilvl w:val="0"/>
          <w:numId w:val="2"/>
        </w:numPr>
        <w:shd w:val="clear"/>
        <w:snapToGrid w:val="0"/>
        <w:spacing w:line="360" w:lineRule="auto"/>
        <w:ind w:firstLine="0"/>
        <w:rPr>
          <w:rFonts w:ascii="宋体" w:hAnsi="宋体" w:cs="宋体"/>
          <w:b/>
          <w:szCs w:val="21"/>
          <w:highlight w:val="none"/>
        </w:rPr>
      </w:pPr>
      <w:r>
        <w:rPr>
          <w:rFonts w:hint="eastAsia" w:ascii="宋体" w:hAnsi="宋体" w:cs="宋体"/>
          <w:b/>
          <w:szCs w:val="21"/>
          <w:highlight w:val="none"/>
        </w:rPr>
        <w:t>采购文件的获取</w:t>
      </w:r>
    </w:p>
    <w:p>
      <w:pPr>
        <w:shd w:val="clear"/>
        <w:snapToGrid w:val="0"/>
        <w:spacing w:line="360" w:lineRule="auto"/>
        <w:ind w:firstLine="422" w:firstLineChars="200"/>
        <w:rPr>
          <w:rFonts w:ascii="宋体" w:hAnsi="宋体" w:cs="宋体"/>
          <w:b/>
          <w:szCs w:val="21"/>
          <w:highlight w:val="none"/>
        </w:rPr>
      </w:pPr>
      <w:r>
        <w:rPr>
          <w:rFonts w:hint="eastAsia" w:ascii="宋体" w:hAnsi="宋体" w:cs="宋体"/>
          <w:b/>
          <w:szCs w:val="21"/>
          <w:highlight w:val="none"/>
        </w:rPr>
        <w:t>采购文件详见附件采购文件下载</w:t>
      </w:r>
    </w:p>
    <w:p>
      <w:pPr>
        <w:numPr>
          <w:ilvl w:val="0"/>
          <w:numId w:val="2"/>
        </w:numPr>
        <w:shd w:val="clear"/>
        <w:snapToGrid w:val="0"/>
        <w:spacing w:line="360" w:lineRule="auto"/>
        <w:ind w:left="420" w:hanging="420" w:hangingChars="200"/>
        <w:rPr>
          <w:rFonts w:ascii="宋体" w:hAnsi="宋体" w:cs="宋体"/>
          <w:bCs/>
          <w:szCs w:val="21"/>
          <w:highlight w:val="none"/>
        </w:rPr>
      </w:pPr>
      <w:r>
        <w:rPr>
          <w:rFonts w:hint="eastAsia" w:ascii="宋体" w:hAnsi="宋体" w:cs="宋体"/>
          <w:bCs/>
          <w:szCs w:val="21"/>
          <w:highlight w:val="none"/>
        </w:rPr>
        <w:t>投标文件递交时间：2023年</w:t>
      </w:r>
      <w:r>
        <w:rPr>
          <w:rFonts w:hint="eastAsia" w:ascii="宋体" w:hAnsi="宋体" w:cs="宋体"/>
          <w:bCs/>
          <w:szCs w:val="21"/>
          <w:highlight w:val="none"/>
          <w:lang w:val="en-US" w:eastAsia="zh-CN"/>
        </w:rPr>
        <w:t>6</w:t>
      </w:r>
      <w:r>
        <w:rPr>
          <w:rFonts w:hint="eastAsia" w:ascii="宋体" w:hAnsi="宋体" w:cs="宋体"/>
          <w:bCs/>
          <w:szCs w:val="21"/>
          <w:highlight w:val="none"/>
        </w:rPr>
        <w:t>月</w:t>
      </w:r>
      <w:r>
        <w:rPr>
          <w:rFonts w:hint="eastAsia" w:ascii="宋体" w:hAnsi="宋体" w:cs="宋体"/>
          <w:bCs/>
          <w:szCs w:val="21"/>
          <w:highlight w:val="none"/>
          <w:lang w:val="en-US" w:eastAsia="zh-CN"/>
        </w:rPr>
        <w:t>28</w:t>
      </w:r>
      <w:r>
        <w:rPr>
          <w:rFonts w:hint="eastAsia" w:ascii="宋体" w:hAnsi="宋体" w:cs="宋体"/>
          <w:bCs/>
          <w:szCs w:val="21"/>
          <w:highlight w:val="none"/>
        </w:rPr>
        <w:t>日上午9时00分至2023年</w:t>
      </w:r>
      <w:r>
        <w:rPr>
          <w:rFonts w:hint="eastAsia" w:ascii="宋体" w:hAnsi="宋体" w:cs="宋体"/>
          <w:bCs/>
          <w:szCs w:val="21"/>
          <w:highlight w:val="none"/>
          <w:lang w:val="en-US" w:eastAsia="zh-CN"/>
        </w:rPr>
        <w:t>6</w:t>
      </w:r>
      <w:r>
        <w:rPr>
          <w:rFonts w:hint="eastAsia" w:ascii="宋体" w:hAnsi="宋体" w:cs="宋体"/>
          <w:bCs/>
          <w:szCs w:val="21"/>
          <w:highlight w:val="none"/>
        </w:rPr>
        <w:t>月</w:t>
      </w:r>
      <w:r>
        <w:rPr>
          <w:rFonts w:hint="eastAsia" w:ascii="宋体" w:hAnsi="宋体" w:cs="宋体"/>
          <w:bCs/>
          <w:szCs w:val="21"/>
          <w:highlight w:val="none"/>
          <w:lang w:val="en-US" w:eastAsia="zh-CN"/>
        </w:rPr>
        <w:t>28</w:t>
      </w:r>
      <w:r>
        <w:rPr>
          <w:rFonts w:hint="eastAsia" w:ascii="宋体" w:hAnsi="宋体" w:cs="宋体"/>
          <w:bCs/>
          <w:szCs w:val="21"/>
          <w:highlight w:val="none"/>
        </w:rPr>
        <w:t>日上午9时30分止。</w:t>
      </w:r>
    </w:p>
    <w:p>
      <w:pPr>
        <w:numPr>
          <w:ilvl w:val="0"/>
          <w:numId w:val="2"/>
        </w:numPr>
        <w:shd w:val="clear"/>
        <w:snapToGrid w:val="0"/>
        <w:spacing w:line="360" w:lineRule="auto"/>
        <w:ind w:left="420" w:hanging="420" w:hangingChars="200"/>
        <w:rPr>
          <w:rFonts w:ascii="宋体" w:hAnsi="宋体" w:cs="宋体"/>
          <w:bCs/>
          <w:szCs w:val="21"/>
          <w:highlight w:val="none"/>
        </w:rPr>
      </w:pPr>
      <w:r>
        <w:rPr>
          <w:rFonts w:hint="eastAsia" w:ascii="宋体" w:hAnsi="宋体" w:cs="宋体"/>
          <w:bCs/>
          <w:szCs w:val="21"/>
          <w:highlight w:val="none"/>
        </w:rPr>
        <w:t>提交投标文件地点：</w:t>
      </w:r>
      <w:r>
        <w:rPr>
          <w:rFonts w:hint="eastAsia" w:ascii="宋体" w:hAnsi="宋体" w:cs="宋体"/>
          <w:kern w:val="0"/>
          <w:szCs w:val="21"/>
          <w:highlight w:val="none"/>
        </w:rPr>
        <w:t>佛山市南海区桂城海六路8号联达大厦21楼佛山市南海公有资产流转服务有限公司</w:t>
      </w:r>
      <w:r>
        <w:rPr>
          <w:rFonts w:hint="eastAsia" w:ascii="宋体" w:hAnsi="宋体" w:cs="宋体"/>
          <w:bCs/>
          <w:szCs w:val="21"/>
          <w:highlight w:val="none"/>
        </w:rPr>
        <w:t>。</w:t>
      </w:r>
    </w:p>
    <w:p>
      <w:pPr>
        <w:numPr>
          <w:ilvl w:val="0"/>
          <w:numId w:val="2"/>
        </w:numPr>
        <w:shd w:val="clear"/>
        <w:snapToGrid w:val="0"/>
        <w:spacing w:line="360" w:lineRule="auto"/>
        <w:ind w:left="420" w:hanging="420" w:hangingChars="200"/>
        <w:rPr>
          <w:rFonts w:ascii="宋体" w:hAnsi="宋体" w:cs="宋体"/>
          <w:bCs/>
          <w:szCs w:val="21"/>
          <w:highlight w:val="none"/>
        </w:rPr>
      </w:pPr>
      <w:r>
        <w:rPr>
          <w:rFonts w:hint="eastAsia" w:ascii="宋体" w:hAnsi="宋体" w:cs="宋体"/>
          <w:bCs/>
          <w:szCs w:val="21"/>
          <w:highlight w:val="none"/>
        </w:rPr>
        <w:t>投标截止及开标时间：2023年</w:t>
      </w:r>
      <w:r>
        <w:rPr>
          <w:rFonts w:hint="eastAsia" w:ascii="宋体" w:hAnsi="宋体" w:cs="宋体"/>
          <w:bCs/>
          <w:szCs w:val="21"/>
          <w:highlight w:val="none"/>
          <w:lang w:val="en-US" w:eastAsia="zh-CN"/>
        </w:rPr>
        <w:t>6</w:t>
      </w:r>
      <w:r>
        <w:rPr>
          <w:rFonts w:hint="eastAsia" w:ascii="宋体" w:hAnsi="宋体" w:cs="宋体"/>
          <w:bCs/>
          <w:szCs w:val="21"/>
          <w:highlight w:val="none"/>
        </w:rPr>
        <w:t>月</w:t>
      </w:r>
      <w:r>
        <w:rPr>
          <w:rFonts w:hint="eastAsia" w:ascii="宋体" w:hAnsi="宋体" w:cs="宋体"/>
          <w:bCs/>
          <w:szCs w:val="21"/>
          <w:highlight w:val="none"/>
          <w:lang w:val="en-US" w:eastAsia="zh-CN"/>
        </w:rPr>
        <w:t>28</w:t>
      </w:r>
      <w:r>
        <w:rPr>
          <w:rFonts w:hint="eastAsia" w:ascii="宋体" w:hAnsi="宋体" w:cs="宋体"/>
          <w:bCs/>
          <w:szCs w:val="21"/>
          <w:highlight w:val="none"/>
        </w:rPr>
        <w:t>日上午9时30分。</w:t>
      </w:r>
    </w:p>
    <w:p>
      <w:pPr>
        <w:numPr>
          <w:ilvl w:val="0"/>
          <w:numId w:val="2"/>
        </w:numPr>
        <w:shd w:val="clear"/>
        <w:snapToGrid w:val="0"/>
        <w:spacing w:line="360" w:lineRule="auto"/>
        <w:ind w:left="420" w:hanging="420" w:hangingChars="200"/>
        <w:rPr>
          <w:rFonts w:ascii="宋体" w:hAnsi="宋体" w:cs="宋体"/>
          <w:bCs/>
          <w:szCs w:val="21"/>
          <w:highlight w:val="none"/>
        </w:rPr>
      </w:pPr>
      <w:r>
        <w:rPr>
          <w:rFonts w:hint="eastAsia" w:ascii="宋体" w:hAnsi="宋体" w:cs="宋体"/>
          <w:bCs/>
          <w:szCs w:val="21"/>
          <w:highlight w:val="none"/>
        </w:rPr>
        <w:t>开标地点：</w:t>
      </w:r>
      <w:r>
        <w:rPr>
          <w:rFonts w:hint="eastAsia" w:ascii="宋体" w:hAnsi="宋体" w:cs="宋体"/>
          <w:kern w:val="0"/>
          <w:szCs w:val="21"/>
          <w:highlight w:val="none"/>
        </w:rPr>
        <w:t>佛山市南海区桂城海六路8号联达大厦21楼佛山市南海公有资产流转服务有限公司</w:t>
      </w:r>
      <w:r>
        <w:rPr>
          <w:rFonts w:hint="eastAsia" w:ascii="宋体" w:hAnsi="宋体" w:cs="宋体"/>
          <w:bCs/>
          <w:szCs w:val="21"/>
          <w:highlight w:val="none"/>
        </w:rPr>
        <w:t>。</w:t>
      </w:r>
    </w:p>
    <w:p>
      <w:pPr>
        <w:numPr>
          <w:ilvl w:val="0"/>
          <w:numId w:val="2"/>
        </w:numPr>
        <w:shd w:val="clear"/>
        <w:snapToGrid w:val="0"/>
        <w:spacing w:line="360" w:lineRule="auto"/>
        <w:ind w:left="420" w:hanging="420" w:hangingChars="200"/>
        <w:rPr>
          <w:rFonts w:ascii="宋体" w:hAnsi="宋体" w:cs="宋体"/>
          <w:bCs/>
          <w:szCs w:val="21"/>
          <w:highlight w:val="none"/>
        </w:rPr>
      </w:pPr>
      <w:r>
        <w:rPr>
          <w:rFonts w:hint="eastAsia" w:ascii="宋体" w:hAnsi="宋体" w:cs="宋体"/>
          <w:bCs/>
          <w:szCs w:val="21"/>
          <w:highlight w:val="none"/>
        </w:rPr>
        <w:t>投标保证金递交时间、其支付方式及保证金金额：</w:t>
      </w:r>
    </w:p>
    <w:p>
      <w:pPr>
        <w:widowControl/>
        <w:shd w:val="clear"/>
        <w:spacing w:line="360" w:lineRule="auto"/>
        <w:jc w:val="left"/>
        <w:rPr>
          <w:rFonts w:ascii="宋体" w:hAnsi="宋体" w:cs="宋体"/>
          <w:kern w:val="0"/>
          <w:szCs w:val="21"/>
          <w:highlight w:val="none"/>
        </w:rPr>
      </w:pPr>
      <w:r>
        <w:rPr>
          <w:rFonts w:hint="eastAsia" w:ascii="宋体" w:hAnsi="宋体" w:cs="宋体"/>
          <w:kern w:val="0"/>
          <w:szCs w:val="21"/>
          <w:highlight w:val="none"/>
        </w:rPr>
        <w:t xml:space="preserve">    投标人须于公告之日起至</w:t>
      </w:r>
      <w:r>
        <w:rPr>
          <w:rFonts w:hint="eastAsia" w:ascii="宋体" w:hAnsi="宋体" w:cs="宋体"/>
          <w:bCs/>
          <w:szCs w:val="21"/>
          <w:highlight w:val="none"/>
        </w:rPr>
        <w:t>2023年</w:t>
      </w:r>
      <w:r>
        <w:rPr>
          <w:rFonts w:hint="eastAsia" w:ascii="宋体" w:hAnsi="宋体" w:cs="宋体"/>
          <w:bCs/>
          <w:szCs w:val="21"/>
          <w:highlight w:val="none"/>
          <w:lang w:val="en-US" w:eastAsia="zh-CN"/>
        </w:rPr>
        <w:t>6</w:t>
      </w:r>
      <w:r>
        <w:rPr>
          <w:rFonts w:hint="eastAsia" w:ascii="宋体" w:hAnsi="宋体" w:cs="宋体"/>
          <w:bCs/>
          <w:szCs w:val="21"/>
          <w:highlight w:val="none"/>
        </w:rPr>
        <w:t>月</w:t>
      </w:r>
      <w:r>
        <w:rPr>
          <w:rFonts w:hint="eastAsia" w:ascii="宋体" w:hAnsi="宋体" w:cs="宋体"/>
          <w:bCs/>
          <w:szCs w:val="21"/>
          <w:highlight w:val="none"/>
          <w:lang w:val="en-US" w:eastAsia="zh-CN"/>
        </w:rPr>
        <w:t>25</w:t>
      </w:r>
      <w:r>
        <w:rPr>
          <w:rFonts w:hint="eastAsia" w:ascii="宋体" w:hAnsi="宋体" w:cs="宋体"/>
          <w:bCs/>
          <w:szCs w:val="21"/>
          <w:highlight w:val="none"/>
        </w:rPr>
        <w:t>日</w:t>
      </w:r>
      <w:r>
        <w:rPr>
          <w:rFonts w:hint="eastAsia" w:ascii="宋体" w:hAnsi="宋体" w:cs="宋体"/>
          <w:kern w:val="0"/>
          <w:szCs w:val="21"/>
          <w:highlight w:val="none"/>
        </w:rPr>
        <w:t>下午17：00时前，将采购项目保证金由投标人名下的银行账户（采用银行柜台、网上银行转账两种方式之一的方式）缴纳到以下指定账户，以银行到账为准。保证金金额为￥1</w:t>
      </w:r>
      <w:r>
        <w:rPr>
          <w:rFonts w:hint="eastAsia" w:ascii="宋体" w:hAnsi="宋体" w:cs="宋体"/>
          <w:kern w:val="0"/>
          <w:szCs w:val="21"/>
          <w:highlight w:val="none"/>
          <w:lang w:val="en-US" w:eastAsia="zh-CN"/>
        </w:rPr>
        <w:t>57</w:t>
      </w:r>
      <w:r>
        <w:rPr>
          <w:rFonts w:hint="eastAsia" w:ascii="宋体" w:hAnsi="宋体" w:cs="宋体"/>
          <w:kern w:val="0"/>
          <w:szCs w:val="21"/>
          <w:highlight w:val="none"/>
        </w:rPr>
        <w:t>,000.00元（大写：人民币壹拾</w:t>
      </w:r>
      <w:r>
        <w:rPr>
          <w:rFonts w:hint="eastAsia" w:ascii="宋体" w:hAnsi="宋体" w:cs="宋体"/>
          <w:kern w:val="0"/>
          <w:szCs w:val="21"/>
          <w:highlight w:val="none"/>
          <w:lang w:eastAsia="zh-CN"/>
        </w:rPr>
        <w:t>伍万柒仟</w:t>
      </w:r>
      <w:r>
        <w:rPr>
          <w:rFonts w:hint="eastAsia" w:ascii="宋体" w:hAnsi="宋体" w:cs="宋体"/>
          <w:kern w:val="0"/>
          <w:szCs w:val="21"/>
          <w:highlight w:val="none"/>
        </w:rPr>
        <w:t>元整）。</w:t>
      </w:r>
    </w:p>
    <w:p>
      <w:pPr>
        <w:widowControl/>
        <w:shd w:val="clear"/>
        <w:spacing w:line="360" w:lineRule="auto"/>
        <w:jc w:val="left"/>
        <w:rPr>
          <w:rFonts w:ascii="宋体" w:hAnsi="宋体" w:cs="宋体"/>
          <w:kern w:val="0"/>
          <w:szCs w:val="21"/>
          <w:highlight w:val="none"/>
        </w:rPr>
      </w:pPr>
      <w:r>
        <w:rPr>
          <w:rFonts w:hint="eastAsia" w:ascii="宋体" w:hAnsi="宋体" w:cs="宋体"/>
          <w:kern w:val="0"/>
          <w:szCs w:val="21"/>
          <w:highlight w:val="none"/>
        </w:rPr>
        <w:t>【特别说明：本项目无须报名，已经缴纳保证金的投标人须在规定时间内提交投标文件，</w:t>
      </w:r>
      <w:r>
        <w:rPr>
          <w:rFonts w:hint="eastAsia" w:ascii="宋体" w:hAnsi="宋体" w:cs="宋体"/>
          <w:szCs w:val="21"/>
          <w:highlight w:val="none"/>
        </w:rPr>
        <w:t>《企业采购保证金退付委托书》</w:t>
      </w:r>
      <w:r>
        <w:rPr>
          <w:rFonts w:hint="eastAsia" w:ascii="宋体" w:hAnsi="宋体" w:cs="宋体"/>
          <w:kern w:val="0"/>
          <w:szCs w:val="21"/>
          <w:highlight w:val="none"/>
        </w:rPr>
        <w:t>和营业执照复印件（需盖单位公章）须另外单独提交，其</w:t>
      </w:r>
      <w:r>
        <w:rPr>
          <w:rFonts w:hint="eastAsia" w:ascii="宋体" w:hAnsi="宋体" w:cs="宋体"/>
          <w:szCs w:val="21"/>
          <w:highlight w:val="none"/>
        </w:rPr>
        <w:t>为投标人办理投标保证金退付的必须资料</w:t>
      </w:r>
      <w:r>
        <w:rPr>
          <w:rFonts w:hint="eastAsia" w:ascii="宋体" w:hAnsi="宋体" w:cs="宋体"/>
          <w:kern w:val="0"/>
          <w:szCs w:val="21"/>
          <w:highlight w:val="none"/>
        </w:rPr>
        <w:t>，由佛山市南海公有资产流转服务有限公司按照相关文件要求规定办理退款</w:t>
      </w:r>
      <w:r>
        <w:rPr>
          <w:rFonts w:hint="eastAsia" w:ascii="宋体" w:hAnsi="宋体" w:cs="宋体"/>
          <w:kern w:val="0"/>
          <w:szCs w:val="21"/>
          <w:highlight w:val="none"/>
          <w:lang w:eastAsia="zh-CN"/>
        </w:rPr>
        <w:t>（不计利息）</w:t>
      </w:r>
      <w:r>
        <w:rPr>
          <w:rFonts w:hint="eastAsia" w:ascii="宋体" w:hAnsi="宋体" w:cs="宋体"/>
          <w:kern w:val="0"/>
          <w:szCs w:val="21"/>
          <w:highlight w:val="none"/>
        </w:rPr>
        <w:t>。】</w:t>
      </w:r>
    </w:p>
    <w:p>
      <w:pPr>
        <w:widowControl/>
        <w:shd w:val="clear"/>
        <w:spacing w:line="360" w:lineRule="auto"/>
        <w:jc w:val="left"/>
        <w:rPr>
          <w:rFonts w:ascii="宋体" w:hAnsi="宋体" w:cs="宋体"/>
          <w:kern w:val="0"/>
          <w:szCs w:val="21"/>
          <w:highlight w:val="none"/>
        </w:rPr>
      </w:pPr>
      <w:r>
        <w:rPr>
          <w:rFonts w:hint="eastAsia" w:ascii="宋体" w:hAnsi="宋体" w:cs="宋体"/>
          <w:kern w:val="0"/>
          <w:szCs w:val="21"/>
          <w:highlight w:val="none"/>
        </w:rPr>
        <w:t>（1）通过银行柜台转账时，必须在银行进账单或汇款凭证中准确填写收款人和交款人名称、账户，以及缴纳金额、交纳人证件号码信息；银行进账单或汇款凭证的备注/用途/附言等备注信息栏中需准确填写采购项目的项目名称简称。</w:t>
      </w:r>
    </w:p>
    <w:p>
      <w:pPr>
        <w:widowControl/>
        <w:shd w:val="clear"/>
        <w:spacing w:line="360" w:lineRule="auto"/>
        <w:jc w:val="left"/>
        <w:rPr>
          <w:rFonts w:ascii="宋体" w:hAnsi="宋体" w:cs="宋体"/>
          <w:kern w:val="0"/>
          <w:szCs w:val="21"/>
          <w:highlight w:val="none"/>
        </w:rPr>
      </w:pPr>
      <w:r>
        <w:rPr>
          <w:rFonts w:hint="eastAsia" w:ascii="宋体" w:hAnsi="宋体" w:cs="宋体"/>
          <w:kern w:val="0"/>
          <w:szCs w:val="21"/>
          <w:highlight w:val="none"/>
        </w:rPr>
        <w:t>（2）通过网上银行转账时，必须在网上银行支付界面准确填写收款人和交款人名称、账户、缴纳金额，备注/用途/附言等备注信息栏中需准确填写采购项目的项目名称简称。</w:t>
      </w:r>
    </w:p>
    <w:p>
      <w:pPr>
        <w:widowControl/>
        <w:shd w:val="clear"/>
        <w:spacing w:line="360" w:lineRule="auto"/>
        <w:jc w:val="left"/>
        <w:rPr>
          <w:rFonts w:ascii="宋体" w:hAnsi="宋体" w:cs="宋体"/>
          <w:kern w:val="0"/>
          <w:szCs w:val="21"/>
          <w:highlight w:val="none"/>
          <w:u w:val="single"/>
        </w:rPr>
      </w:pPr>
      <w:r>
        <w:rPr>
          <w:rFonts w:hint="eastAsia" w:ascii="宋体" w:hAnsi="宋体" w:cs="宋体"/>
          <w:kern w:val="0"/>
          <w:szCs w:val="21"/>
          <w:highlight w:val="none"/>
        </w:rPr>
        <w:t>（3）本项目名称简称：BD024+单位简称</w:t>
      </w:r>
    </w:p>
    <w:p>
      <w:pPr>
        <w:widowControl/>
        <w:shd w:val="clear"/>
        <w:spacing w:line="360" w:lineRule="auto"/>
        <w:jc w:val="left"/>
        <w:rPr>
          <w:rFonts w:ascii="宋体" w:hAnsi="宋体" w:cs="宋体"/>
          <w:kern w:val="0"/>
          <w:szCs w:val="21"/>
          <w:highlight w:val="none"/>
        </w:rPr>
      </w:pPr>
      <w:r>
        <w:rPr>
          <w:rFonts w:hint="eastAsia" w:ascii="宋体" w:hAnsi="宋体" w:cs="宋体"/>
          <w:kern w:val="0"/>
          <w:szCs w:val="21"/>
          <w:highlight w:val="none"/>
        </w:rPr>
        <w:t xml:space="preserve">     收款（人）单位名称：佛山市南海公有资产流转服务有限公司</w:t>
      </w:r>
    </w:p>
    <w:p>
      <w:pPr>
        <w:widowControl/>
        <w:shd w:val="clear"/>
        <w:spacing w:line="360" w:lineRule="auto"/>
        <w:jc w:val="left"/>
        <w:rPr>
          <w:rFonts w:ascii="宋体" w:hAnsi="宋体" w:cs="宋体"/>
          <w:kern w:val="0"/>
          <w:szCs w:val="21"/>
          <w:highlight w:val="none"/>
        </w:rPr>
      </w:pPr>
      <w:r>
        <w:rPr>
          <w:rFonts w:hint="eastAsia" w:ascii="宋体" w:hAnsi="宋体" w:cs="宋体"/>
          <w:kern w:val="0"/>
          <w:szCs w:val="21"/>
          <w:highlight w:val="none"/>
        </w:rPr>
        <w:t xml:space="preserve">     账号：44504001040012386</w:t>
      </w:r>
    </w:p>
    <w:p>
      <w:pPr>
        <w:widowControl/>
        <w:shd w:val="clear"/>
        <w:spacing w:line="360" w:lineRule="auto"/>
        <w:jc w:val="left"/>
        <w:rPr>
          <w:rFonts w:ascii="宋体" w:hAnsi="宋体" w:cs="宋体"/>
          <w:bCs/>
          <w:szCs w:val="21"/>
          <w:highlight w:val="none"/>
        </w:rPr>
      </w:pPr>
      <w:r>
        <w:rPr>
          <w:rFonts w:hint="eastAsia" w:ascii="宋体" w:hAnsi="宋体" w:cs="宋体"/>
          <w:kern w:val="0"/>
          <w:szCs w:val="21"/>
          <w:highlight w:val="none"/>
        </w:rPr>
        <w:t xml:space="preserve">     开户行：中国农业银行佛山南海灯湖支行</w:t>
      </w:r>
    </w:p>
    <w:p>
      <w:pPr>
        <w:numPr>
          <w:ilvl w:val="0"/>
          <w:numId w:val="2"/>
        </w:numPr>
        <w:shd w:val="clear"/>
        <w:snapToGrid w:val="0"/>
        <w:spacing w:line="360" w:lineRule="auto"/>
        <w:ind w:left="420" w:hanging="420" w:hangingChars="200"/>
        <w:rPr>
          <w:rFonts w:ascii="宋体" w:hAnsi="宋体" w:cs="宋体"/>
          <w:bCs/>
          <w:szCs w:val="21"/>
          <w:highlight w:val="none"/>
        </w:rPr>
      </w:pPr>
      <w:r>
        <w:rPr>
          <w:rFonts w:hint="eastAsia" w:ascii="宋体" w:hAnsi="宋体" w:cs="宋体"/>
          <w:bCs/>
          <w:szCs w:val="21"/>
          <w:highlight w:val="none"/>
        </w:rPr>
        <w:t>本公告期限自2023年</w:t>
      </w:r>
      <w:r>
        <w:rPr>
          <w:rFonts w:hint="eastAsia" w:ascii="宋体" w:hAnsi="宋体" w:cs="宋体"/>
          <w:bCs/>
          <w:szCs w:val="21"/>
          <w:highlight w:val="none"/>
          <w:lang w:val="en-US" w:eastAsia="zh-CN"/>
        </w:rPr>
        <w:t>6</w:t>
      </w:r>
      <w:r>
        <w:rPr>
          <w:rFonts w:hint="eastAsia" w:ascii="宋体" w:hAnsi="宋体" w:cs="宋体"/>
          <w:bCs/>
          <w:szCs w:val="21"/>
          <w:highlight w:val="none"/>
        </w:rPr>
        <w:t>月</w:t>
      </w:r>
      <w:r>
        <w:rPr>
          <w:rFonts w:hint="eastAsia" w:ascii="宋体" w:hAnsi="宋体" w:cs="宋体"/>
          <w:bCs/>
          <w:szCs w:val="21"/>
          <w:highlight w:val="none"/>
          <w:lang w:val="en-US" w:eastAsia="zh-CN"/>
        </w:rPr>
        <w:t>7</w:t>
      </w:r>
      <w:r>
        <w:rPr>
          <w:rFonts w:hint="eastAsia" w:ascii="宋体" w:hAnsi="宋体" w:cs="宋体"/>
          <w:bCs/>
          <w:szCs w:val="21"/>
          <w:highlight w:val="none"/>
        </w:rPr>
        <w:t>日至2023年</w:t>
      </w:r>
      <w:r>
        <w:rPr>
          <w:rFonts w:hint="eastAsia" w:ascii="宋体" w:hAnsi="宋体" w:cs="宋体"/>
          <w:bCs/>
          <w:szCs w:val="21"/>
          <w:highlight w:val="none"/>
          <w:lang w:val="en-US" w:eastAsia="zh-CN"/>
        </w:rPr>
        <w:t>6</w:t>
      </w:r>
      <w:r>
        <w:rPr>
          <w:rFonts w:hint="eastAsia" w:ascii="宋体" w:hAnsi="宋体" w:cs="宋体"/>
          <w:bCs/>
          <w:szCs w:val="21"/>
          <w:highlight w:val="none"/>
        </w:rPr>
        <w:t>月</w:t>
      </w:r>
      <w:r>
        <w:rPr>
          <w:rFonts w:hint="eastAsia" w:ascii="宋体" w:hAnsi="宋体" w:cs="宋体"/>
          <w:bCs/>
          <w:szCs w:val="21"/>
          <w:highlight w:val="none"/>
          <w:lang w:val="en-US" w:eastAsia="zh-CN"/>
        </w:rPr>
        <w:t>14</w:t>
      </w:r>
      <w:r>
        <w:rPr>
          <w:rFonts w:hint="eastAsia" w:ascii="宋体" w:hAnsi="宋体" w:cs="宋体"/>
          <w:bCs/>
          <w:szCs w:val="21"/>
          <w:highlight w:val="none"/>
        </w:rPr>
        <w:t>日止。</w:t>
      </w:r>
    </w:p>
    <w:p>
      <w:pPr>
        <w:numPr>
          <w:ilvl w:val="0"/>
          <w:numId w:val="2"/>
        </w:numPr>
        <w:shd w:val="clear"/>
        <w:snapToGrid w:val="0"/>
        <w:spacing w:line="360" w:lineRule="auto"/>
        <w:ind w:left="638" w:hanging="638" w:hangingChars="304"/>
        <w:rPr>
          <w:rFonts w:ascii="宋体" w:hAnsi="宋体" w:cs="宋体"/>
          <w:bCs/>
          <w:szCs w:val="21"/>
          <w:highlight w:val="none"/>
        </w:rPr>
      </w:pPr>
      <w:r>
        <w:rPr>
          <w:rFonts w:hint="eastAsia" w:ascii="宋体" w:hAnsi="宋体" w:cs="宋体"/>
          <w:kern w:val="0"/>
          <w:szCs w:val="21"/>
          <w:highlight w:val="none"/>
        </w:rPr>
        <w:t>采购过程如出现异常情况，佛山市南海公有资产流转服务有限公司有权暂停或者中止该采购项目</w:t>
      </w:r>
      <w:r>
        <w:rPr>
          <w:rFonts w:hint="eastAsia" w:ascii="宋体" w:hAnsi="宋体" w:cs="宋体"/>
          <w:bCs/>
          <w:szCs w:val="21"/>
          <w:highlight w:val="none"/>
        </w:rPr>
        <w:t>。</w:t>
      </w:r>
    </w:p>
    <w:p>
      <w:pPr>
        <w:numPr>
          <w:ilvl w:val="0"/>
          <w:numId w:val="2"/>
        </w:numPr>
        <w:shd w:val="clear"/>
        <w:snapToGrid w:val="0"/>
        <w:spacing w:line="360" w:lineRule="auto"/>
        <w:ind w:left="420" w:hanging="420" w:hangingChars="200"/>
        <w:rPr>
          <w:rFonts w:ascii="宋体" w:hAnsi="宋体" w:cs="宋体"/>
          <w:bCs/>
          <w:szCs w:val="21"/>
          <w:highlight w:val="none"/>
        </w:rPr>
      </w:pPr>
      <w:r>
        <w:rPr>
          <w:rFonts w:hint="eastAsia" w:ascii="宋体" w:hAnsi="宋体" w:cs="宋体"/>
          <w:bCs/>
          <w:szCs w:val="21"/>
          <w:highlight w:val="none"/>
        </w:rPr>
        <w:t>其他说明：</w:t>
      </w:r>
    </w:p>
    <w:p>
      <w:pPr>
        <w:numPr>
          <w:ilvl w:val="0"/>
          <w:numId w:val="6"/>
        </w:numPr>
        <w:shd w:val="clear"/>
        <w:wordWrap w:val="0"/>
        <w:snapToGrid w:val="0"/>
        <w:spacing w:line="360" w:lineRule="auto"/>
        <w:ind w:hanging="6"/>
        <w:rPr>
          <w:rFonts w:ascii="宋体" w:hAnsi="宋体" w:cs="宋体"/>
          <w:highlight w:val="none"/>
        </w:rPr>
      </w:pPr>
      <w:r>
        <w:rPr>
          <w:rFonts w:hint="eastAsia" w:ascii="宋体" w:hAnsi="宋体" w:cs="宋体"/>
          <w:highlight w:val="none"/>
        </w:rPr>
        <w:t>本项目相关公告在以下媒体发布：佛山市南海区人民政府网(http://www.nanhai.gov.cn/fsnhq/bmdh/sydw/ggzyjyzx/jyxx/)、中国采购与招标网（https://www.chinabidding.cn/）及招标代理机构网站（https://www.gdbdzb.com/）上公布之日即视为有效送达，不再另行通知。</w:t>
      </w:r>
    </w:p>
    <w:p>
      <w:pPr>
        <w:numPr>
          <w:ilvl w:val="0"/>
          <w:numId w:val="6"/>
        </w:numPr>
        <w:shd w:val="clear"/>
        <w:wordWrap w:val="0"/>
        <w:snapToGrid w:val="0"/>
        <w:spacing w:line="360" w:lineRule="auto"/>
        <w:ind w:hanging="6"/>
        <w:rPr>
          <w:rFonts w:ascii="宋体" w:hAnsi="宋体" w:cs="宋体"/>
          <w:highlight w:val="none"/>
        </w:rPr>
      </w:pPr>
      <w:r>
        <w:rPr>
          <w:rFonts w:hint="eastAsia" w:ascii="宋体" w:hAnsi="宋体" w:cs="宋体"/>
          <w:highlight w:val="none"/>
        </w:rPr>
        <w:t>本项目不属于政府采购范畴，不属于依法必须招标的范畴。</w:t>
      </w:r>
    </w:p>
    <w:p>
      <w:pPr>
        <w:numPr>
          <w:ilvl w:val="0"/>
          <w:numId w:val="2"/>
        </w:numPr>
        <w:shd w:val="clear"/>
        <w:snapToGrid w:val="0"/>
        <w:spacing w:line="360" w:lineRule="auto"/>
        <w:ind w:left="420" w:hanging="420" w:hangingChars="200"/>
        <w:rPr>
          <w:rFonts w:ascii="宋体" w:hAnsi="宋体" w:cs="宋体"/>
          <w:bCs/>
          <w:szCs w:val="21"/>
          <w:highlight w:val="none"/>
        </w:rPr>
      </w:pPr>
      <w:r>
        <w:rPr>
          <w:rFonts w:hint="eastAsia" w:ascii="宋体" w:hAnsi="宋体" w:cs="宋体"/>
          <w:bCs/>
          <w:szCs w:val="21"/>
          <w:highlight w:val="none"/>
        </w:rPr>
        <w:t>联系事项</w:t>
      </w:r>
    </w:p>
    <w:p>
      <w:pPr>
        <w:pStyle w:val="20"/>
        <w:widowControl w:val="0"/>
        <w:numPr>
          <w:ilvl w:val="0"/>
          <w:numId w:val="7"/>
        </w:numPr>
        <w:shd w:val="clear"/>
        <w:tabs>
          <w:tab w:val="left" w:pos="1050"/>
        </w:tabs>
        <w:snapToGrid w:val="0"/>
        <w:spacing w:before="0" w:beforeAutospacing="0" w:after="0" w:afterAutospacing="0" w:line="360" w:lineRule="auto"/>
        <w:ind w:firstLine="215"/>
        <w:jc w:val="both"/>
        <w:rPr>
          <w:rFonts w:cs="宋体"/>
          <w:bCs/>
          <w:sz w:val="21"/>
          <w:szCs w:val="21"/>
          <w:highlight w:val="none"/>
        </w:rPr>
      </w:pPr>
      <w:r>
        <w:rPr>
          <w:rFonts w:hint="eastAsia" w:cs="宋体"/>
          <w:sz w:val="21"/>
          <w:szCs w:val="21"/>
          <w:highlight w:val="none"/>
        </w:rPr>
        <w:t>招标人：佛山市千灯湖创投小镇投资开发有限公司</w:t>
      </w:r>
      <w:r>
        <w:rPr>
          <w:rFonts w:hint="eastAsia" w:cs="宋体"/>
          <w:bCs/>
          <w:sz w:val="21"/>
          <w:szCs w:val="21"/>
          <w:highlight w:val="none"/>
        </w:rPr>
        <w:t xml:space="preserve">      </w:t>
      </w:r>
    </w:p>
    <w:p>
      <w:pPr>
        <w:shd w:val="clear"/>
        <w:adjustRightInd w:val="0"/>
        <w:snapToGrid w:val="0"/>
        <w:spacing w:line="360" w:lineRule="auto"/>
        <w:ind w:left="425"/>
        <w:rPr>
          <w:rFonts w:ascii="宋体" w:hAnsi="宋体" w:cs="宋体"/>
          <w:bCs/>
          <w:szCs w:val="21"/>
          <w:highlight w:val="none"/>
        </w:rPr>
      </w:pPr>
      <w:r>
        <w:rPr>
          <w:rFonts w:hint="eastAsia" w:ascii="宋体" w:hAnsi="宋体" w:cs="宋体"/>
          <w:bCs/>
          <w:szCs w:val="21"/>
          <w:highlight w:val="none"/>
        </w:rPr>
        <w:t xml:space="preserve">      </w:t>
      </w:r>
      <w:r>
        <w:rPr>
          <w:rFonts w:hint="eastAsia" w:ascii="宋体" w:hAnsi="宋体" w:cs="宋体"/>
          <w:szCs w:val="21"/>
          <w:highlight w:val="none"/>
        </w:rPr>
        <w:t>地址：</w:t>
      </w:r>
      <w:r>
        <w:rPr>
          <w:rFonts w:hint="eastAsia" w:ascii="宋体" w:hAnsi="宋体" w:cs="宋体"/>
          <w:bCs/>
          <w:szCs w:val="21"/>
          <w:highlight w:val="none"/>
        </w:rPr>
        <w:t>佛山市南海区桂城桂澜北路6号</w:t>
      </w:r>
    </w:p>
    <w:p>
      <w:pPr>
        <w:shd w:val="clear"/>
        <w:adjustRightInd w:val="0"/>
        <w:snapToGrid w:val="0"/>
        <w:spacing w:line="360" w:lineRule="auto"/>
        <w:ind w:left="425"/>
        <w:rPr>
          <w:rFonts w:ascii="宋体" w:hAnsi="宋体" w:cs="宋体"/>
          <w:bCs/>
          <w:szCs w:val="21"/>
          <w:highlight w:val="none"/>
        </w:rPr>
      </w:pPr>
      <w:r>
        <w:rPr>
          <w:rFonts w:hint="eastAsia" w:ascii="宋体" w:hAnsi="宋体" w:cs="宋体"/>
          <w:bCs/>
          <w:szCs w:val="21"/>
          <w:highlight w:val="none"/>
        </w:rPr>
        <w:t xml:space="preserve">      联系人：</w:t>
      </w:r>
      <w:r>
        <w:rPr>
          <w:rFonts w:hint="eastAsia" w:ascii="宋体" w:hAnsi="宋体" w:cs="宋体"/>
          <w:szCs w:val="21"/>
          <w:highlight w:val="none"/>
        </w:rPr>
        <w:t>谭小姐</w:t>
      </w:r>
      <w:r>
        <w:rPr>
          <w:rFonts w:hint="eastAsia" w:ascii="宋体" w:hAnsi="宋体" w:cs="宋体"/>
          <w:bCs/>
          <w:szCs w:val="21"/>
          <w:highlight w:val="none"/>
        </w:rPr>
        <w:t xml:space="preserve">                        联系电话：</w:t>
      </w:r>
      <w:r>
        <w:rPr>
          <w:rFonts w:hint="eastAsia" w:ascii="宋体" w:hAnsi="宋体" w:cs="宋体"/>
          <w:szCs w:val="21"/>
          <w:highlight w:val="none"/>
        </w:rPr>
        <w:t>0757-86678666</w:t>
      </w:r>
    </w:p>
    <w:p>
      <w:pPr>
        <w:shd w:val="clear"/>
        <w:adjustRightInd w:val="0"/>
        <w:snapToGrid w:val="0"/>
        <w:spacing w:line="360" w:lineRule="auto"/>
        <w:ind w:left="425"/>
        <w:rPr>
          <w:rFonts w:ascii="宋体" w:hAnsi="宋体" w:cs="宋体"/>
          <w:szCs w:val="21"/>
          <w:highlight w:val="none"/>
        </w:rPr>
      </w:pPr>
      <w:r>
        <w:rPr>
          <w:rFonts w:hint="eastAsia" w:ascii="宋体" w:hAnsi="宋体" w:cs="宋体"/>
          <w:bCs/>
          <w:szCs w:val="21"/>
          <w:highlight w:val="none"/>
        </w:rPr>
        <w:t xml:space="preserve">      邮编：</w:t>
      </w:r>
      <w:r>
        <w:rPr>
          <w:rFonts w:hint="eastAsia" w:ascii="宋体" w:hAnsi="宋体" w:cs="宋体"/>
          <w:szCs w:val="21"/>
          <w:highlight w:val="none"/>
        </w:rPr>
        <w:t xml:space="preserve">528000    </w:t>
      </w:r>
    </w:p>
    <w:p>
      <w:pPr>
        <w:numPr>
          <w:ilvl w:val="0"/>
          <w:numId w:val="7"/>
        </w:numPr>
        <w:shd w:val="clear"/>
        <w:tabs>
          <w:tab w:val="left" w:pos="1050"/>
        </w:tabs>
        <w:adjustRightInd w:val="0"/>
        <w:snapToGrid w:val="0"/>
        <w:spacing w:line="360" w:lineRule="auto"/>
        <w:ind w:firstLine="215"/>
        <w:rPr>
          <w:rFonts w:ascii="宋体" w:hAnsi="宋体" w:cs="宋体"/>
          <w:szCs w:val="21"/>
          <w:highlight w:val="none"/>
        </w:rPr>
      </w:pPr>
      <w:r>
        <w:rPr>
          <w:rFonts w:hint="eastAsia" w:ascii="宋体" w:hAnsi="宋体" w:cs="宋体"/>
          <w:szCs w:val="21"/>
          <w:highlight w:val="none"/>
        </w:rPr>
        <w:t xml:space="preserve">招标代理机构：广东必鼎工程项目管理有限公司    </w:t>
      </w:r>
    </w:p>
    <w:p>
      <w:pPr>
        <w:shd w:val="clear"/>
        <w:tabs>
          <w:tab w:val="left" w:pos="1050"/>
        </w:tabs>
        <w:adjustRightInd w:val="0"/>
        <w:snapToGrid w:val="0"/>
        <w:spacing w:line="360" w:lineRule="auto"/>
        <w:ind w:left="640" w:firstLine="420" w:firstLineChars="200"/>
        <w:rPr>
          <w:rFonts w:ascii="宋体" w:hAnsi="宋体" w:cs="宋体"/>
          <w:szCs w:val="21"/>
          <w:highlight w:val="none"/>
        </w:rPr>
      </w:pPr>
      <w:r>
        <w:rPr>
          <w:rFonts w:hint="eastAsia" w:ascii="宋体" w:hAnsi="宋体" w:cs="宋体"/>
          <w:szCs w:val="21"/>
          <w:highlight w:val="none"/>
        </w:rPr>
        <w:t>地址：广东省佛山市顺德区大良街道逢沙村萃智路1号车创置业广场1栋601房</w:t>
      </w:r>
    </w:p>
    <w:p>
      <w:pPr>
        <w:shd w:val="clear"/>
        <w:adjustRightInd w:val="0"/>
        <w:snapToGrid w:val="0"/>
        <w:spacing w:line="360" w:lineRule="auto"/>
        <w:ind w:left="1054" w:leftChars="202" w:hanging="630" w:hangingChars="300"/>
        <w:jc w:val="left"/>
        <w:rPr>
          <w:rFonts w:ascii="宋体" w:hAnsi="宋体" w:cs="宋体"/>
          <w:szCs w:val="21"/>
          <w:highlight w:val="none"/>
        </w:rPr>
      </w:pPr>
      <w:r>
        <w:rPr>
          <w:rFonts w:hint="eastAsia" w:ascii="宋体" w:hAnsi="宋体" w:cs="宋体"/>
          <w:szCs w:val="21"/>
          <w:highlight w:val="none"/>
        </w:rPr>
        <w:t xml:space="preserve">      联系人：何先生                        联系方式：0757-82593498                   邮政编码：528000                      电邮：</w:t>
      </w:r>
      <w:r>
        <w:rPr>
          <w:highlight w:val="none"/>
        </w:rPr>
        <w:fldChar w:fldCharType="begin"/>
      </w:r>
      <w:r>
        <w:rPr>
          <w:highlight w:val="none"/>
        </w:rPr>
        <w:instrText xml:space="preserve"> HYPERLINK "mailto:gdzczb@126.com" </w:instrText>
      </w:r>
      <w:r>
        <w:rPr>
          <w:highlight w:val="none"/>
        </w:rPr>
        <w:fldChar w:fldCharType="separate"/>
      </w:r>
      <w:r>
        <w:rPr>
          <w:rFonts w:hint="eastAsia" w:ascii="宋体" w:hAnsi="宋体" w:cs="宋体"/>
          <w:szCs w:val="21"/>
          <w:highlight w:val="none"/>
        </w:rPr>
        <w:t>bdzbsd@163.com</w:t>
      </w:r>
      <w:r>
        <w:rPr>
          <w:rFonts w:hint="eastAsia" w:ascii="宋体" w:hAnsi="宋体" w:cs="宋体"/>
          <w:szCs w:val="21"/>
          <w:highlight w:val="none"/>
        </w:rPr>
        <w:fldChar w:fldCharType="end"/>
      </w:r>
    </w:p>
    <w:p>
      <w:pPr>
        <w:shd w:val="clear"/>
        <w:snapToGrid w:val="0"/>
        <w:spacing w:line="360" w:lineRule="auto"/>
        <w:ind w:firstLine="435"/>
        <w:jc w:val="right"/>
        <w:rPr>
          <w:rFonts w:ascii="宋体" w:hAnsi="宋体" w:cs="宋体"/>
          <w:b/>
          <w:szCs w:val="21"/>
          <w:highlight w:val="none"/>
        </w:rPr>
      </w:pPr>
    </w:p>
    <w:p>
      <w:pPr>
        <w:shd w:val="clear"/>
        <w:snapToGrid w:val="0"/>
        <w:spacing w:line="360" w:lineRule="auto"/>
        <w:ind w:firstLine="435"/>
        <w:jc w:val="right"/>
        <w:rPr>
          <w:rFonts w:ascii="宋体" w:hAnsi="宋体" w:cs="宋体"/>
          <w:b/>
          <w:szCs w:val="21"/>
          <w:highlight w:val="none"/>
        </w:rPr>
      </w:pPr>
      <w:r>
        <w:rPr>
          <w:rFonts w:hint="eastAsia" w:ascii="宋体" w:hAnsi="宋体" w:cs="宋体"/>
          <w:b/>
          <w:szCs w:val="21"/>
          <w:highlight w:val="none"/>
        </w:rPr>
        <w:t>广东必鼎工程项目管理有限公司</w:t>
      </w:r>
    </w:p>
    <w:p>
      <w:pPr>
        <w:shd w:val="clear"/>
        <w:wordWrap w:val="0"/>
        <w:snapToGrid w:val="0"/>
        <w:spacing w:line="360" w:lineRule="auto"/>
        <w:ind w:firstLine="435"/>
        <w:jc w:val="right"/>
        <w:rPr>
          <w:rFonts w:ascii="宋体" w:hAnsi="宋体" w:cs="宋体"/>
          <w:b/>
          <w:szCs w:val="21"/>
          <w:highlight w:val="none"/>
        </w:rPr>
      </w:pPr>
      <w:r>
        <w:rPr>
          <w:rFonts w:hint="eastAsia" w:ascii="宋体" w:hAnsi="宋体" w:cs="宋体"/>
          <w:b/>
          <w:szCs w:val="21"/>
          <w:highlight w:val="none"/>
        </w:rPr>
        <w:t>二〇二三年</w:t>
      </w:r>
      <w:r>
        <w:rPr>
          <w:rFonts w:hint="eastAsia" w:ascii="宋体" w:hAnsi="宋体" w:cs="宋体"/>
          <w:b/>
          <w:szCs w:val="21"/>
          <w:highlight w:val="none"/>
          <w:lang w:val="en-US" w:eastAsia="zh-CN"/>
        </w:rPr>
        <w:t>六</w:t>
      </w:r>
      <w:r>
        <w:rPr>
          <w:rFonts w:hint="eastAsia" w:ascii="宋体" w:hAnsi="宋体" w:cs="宋体"/>
          <w:b/>
          <w:szCs w:val="21"/>
          <w:highlight w:val="none"/>
        </w:rPr>
        <w:t>月</w:t>
      </w:r>
      <w:r>
        <w:rPr>
          <w:rFonts w:hint="eastAsia" w:ascii="宋体" w:hAnsi="宋体" w:cs="宋体"/>
          <w:b/>
          <w:szCs w:val="21"/>
          <w:highlight w:val="none"/>
          <w:lang w:eastAsia="zh-CN"/>
        </w:rPr>
        <w:t>七</w:t>
      </w:r>
      <w:r>
        <w:rPr>
          <w:rFonts w:hint="eastAsia" w:ascii="宋体" w:hAnsi="宋体" w:cs="宋体"/>
          <w:b/>
          <w:szCs w:val="21"/>
          <w:highlight w:val="none"/>
        </w:rPr>
        <w:t>日</w:t>
      </w:r>
    </w:p>
    <w:p>
      <w:pPr>
        <w:shd w:val="clear"/>
        <w:snapToGrid w:val="0"/>
        <w:spacing w:line="360" w:lineRule="auto"/>
        <w:ind w:left="-420" w:leftChars="-200"/>
        <w:rPr>
          <w:rFonts w:ascii="宋体" w:hAnsi="宋体" w:cs="宋体"/>
          <w:bCs/>
          <w:szCs w:val="21"/>
          <w:highlight w:val="none"/>
        </w:rPr>
      </w:pPr>
    </w:p>
    <w:p>
      <w:pPr>
        <w:shd w:val="clear"/>
        <w:snapToGrid w:val="0"/>
        <w:spacing w:line="360" w:lineRule="auto"/>
        <w:jc w:val="right"/>
        <w:rPr>
          <w:rFonts w:ascii="宋体" w:hAnsi="宋体" w:cs="宋体"/>
          <w:b/>
          <w:szCs w:val="21"/>
          <w:highlight w:val="none"/>
        </w:rPr>
        <w:sectPr>
          <w:footerReference r:id="rId9" w:type="first"/>
          <w:headerReference r:id="rId7" w:type="default"/>
          <w:footerReference r:id="rId8" w:type="default"/>
          <w:pgSz w:w="11906" w:h="16838"/>
          <w:pgMar w:top="1091" w:right="1466" w:bottom="1134" w:left="1260" w:header="623" w:footer="567" w:gutter="0"/>
          <w:pgNumType w:start="1"/>
          <w:cols w:space="720" w:num="1"/>
          <w:titlePg/>
          <w:docGrid w:type="lines" w:linePitch="312" w:charSpace="0"/>
        </w:sectPr>
      </w:pPr>
    </w:p>
    <w:p>
      <w:pPr>
        <w:shd w:val="clear"/>
        <w:adjustRightInd w:val="0"/>
        <w:snapToGrid w:val="0"/>
        <w:spacing w:before="156" w:beforeLines="50" w:after="156" w:afterLines="50" w:line="360" w:lineRule="auto"/>
        <w:jc w:val="center"/>
        <w:outlineLvl w:val="0"/>
        <w:rPr>
          <w:rFonts w:ascii="Times New Roman" w:hAnsi="Times New Roman"/>
          <w:b/>
          <w:bCs/>
          <w:sz w:val="28"/>
          <w:szCs w:val="28"/>
          <w:highlight w:val="none"/>
        </w:rPr>
      </w:pPr>
      <w:bookmarkStart w:id="1" w:name="_Toc996"/>
      <w:r>
        <w:rPr>
          <w:rFonts w:hint="eastAsia" w:ascii="Times New Roman" w:hAnsi="Times New Roman"/>
          <w:b/>
          <w:bCs/>
          <w:sz w:val="28"/>
          <w:szCs w:val="28"/>
          <w:highlight w:val="none"/>
        </w:rPr>
        <w:t>第二章  投标资料表</w:t>
      </w:r>
      <w:bookmarkEnd w:id="1"/>
    </w:p>
    <w:p>
      <w:pPr>
        <w:numPr>
          <w:ilvl w:val="0"/>
          <w:numId w:val="8"/>
        </w:numPr>
        <w:shd w:val="clear"/>
        <w:spacing w:line="360" w:lineRule="auto"/>
        <w:ind w:right="-174" w:rightChars="-83"/>
        <w:rPr>
          <w:rFonts w:ascii="宋体" w:hAnsi="宋体" w:cs="宋体"/>
          <w:szCs w:val="21"/>
          <w:highlight w:val="none"/>
        </w:rPr>
      </w:pPr>
      <w:r>
        <w:rPr>
          <w:rFonts w:hint="eastAsia" w:ascii="宋体" w:hAnsi="宋体" w:cs="宋体"/>
          <w:szCs w:val="21"/>
          <w:highlight w:val="none"/>
        </w:rPr>
        <w:t>该资料表的条款项号是与第五章《投标人须知》条款项号对应的，或增加的条款，是对第五章《投标人须知》的补充、修改和完善。</w:t>
      </w:r>
    </w:p>
    <w:tbl>
      <w:tblPr>
        <w:tblStyle w:val="22"/>
        <w:tblW w:w="9093" w:type="dxa"/>
        <w:tblInd w:w="46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79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条款项号</w:t>
            </w:r>
          </w:p>
        </w:tc>
        <w:tc>
          <w:tcPr>
            <w:tcW w:w="7938" w:type="dxa"/>
            <w:tcBorders>
              <w:tl2br w:val="nil"/>
              <w:tr2bl w:val="nil"/>
            </w:tcBorders>
            <w:vAlign w:val="center"/>
          </w:tcPr>
          <w:p>
            <w:pPr>
              <w:shd w:val="clear"/>
              <w:jc w:val="center"/>
              <w:rPr>
                <w:rFonts w:ascii="宋体" w:hAnsi="宋体" w:cs="宋体"/>
                <w:b/>
                <w:szCs w:val="21"/>
                <w:highlight w:val="none"/>
              </w:rPr>
            </w:pPr>
            <w:r>
              <w:rPr>
                <w:rFonts w:hint="eastAsia" w:ascii="宋体" w:hAnsi="宋体" w:cs="宋体"/>
                <w:b/>
                <w:szCs w:val="21"/>
                <w:highlight w:val="none"/>
              </w:rPr>
              <w:t>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093" w:type="dxa"/>
            <w:gridSpan w:val="2"/>
            <w:tcBorders>
              <w:tl2br w:val="nil"/>
              <w:tr2bl w:val="nil"/>
            </w:tcBorders>
            <w:vAlign w:val="center"/>
          </w:tcPr>
          <w:p>
            <w:pPr>
              <w:shd w:val="clear"/>
              <w:jc w:val="left"/>
              <w:rPr>
                <w:rFonts w:ascii="宋体" w:hAnsi="宋体" w:cs="宋体"/>
                <w:b/>
                <w:szCs w:val="21"/>
                <w:highlight w:val="none"/>
              </w:rPr>
            </w:pPr>
            <w:r>
              <w:rPr>
                <w:rFonts w:hint="eastAsia" w:ascii="宋体" w:hAnsi="宋体" w:cs="宋体"/>
                <w:szCs w:val="21"/>
                <w:highlight w:val="none"/>
              </w:rPr>
              <w:t>对第五章《投标人须知》的修改及补充：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9093" w:type="dxa"/>
            <w:gridSpan w:val="2"/>
            <w:tcBorders>
              <w:tl2br w:val="nil"/>
              <w:tr2bl w:val="nil"/>
            </w:tcBorders>
            <w:vAlign w:val="center"/>
          </w:tcPr>
          <w:p>
            <w:pPr>
              <w:shd w:val="clear"/>
              <w:jc w:val="center"/>
              <w:rPr>
                <w:rFonts w:ascii="宋体" w:hAnsi="宋体" w:cs="宋体"/>
                <w:b/>
                <w:szCs w:val="21"/>
                <w:highlight w:val="none"/>
              </w:rPr>
            </w:pPr>
            <w:r>
              <w:rPr>
                <w:rFonts w:hint="eastAsia" w:ascii="宋体" w:hAnsi="宋体" w:cs="宋体"/>
                <w:b/>
                <w:szCs w:val="21"/>
                <w:highlight w:val="none"/>
              </w:rPr>
              <w:t>一、说明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2.3</w:t>
            </w:r>
          </w:p>
        </w:tc>
        <w:tc>
          <w:tcPr>
            <w:tcW w:w="7938"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招标人名称：</w:t>
            </w:r>
            <w:r>
              <w:rPr>
                <w:rFonts w:hint="eastAsia" w:ascii="宋体" w:hAnsi="宋体" w:cs="宋体"/>
                <w:kern w:val="28"/>
                <w:szCs w:val="21"/>
                <w:highlight w:val="none"/>
              </w:rPr>
              <w:t>佛山市千灯湖创投小镇投资开发有限公司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2.4</w:t>
            </w:r>
          </w:p>
        </w:tc>
        <w:tc>
          <w:tcPr>
            <w:tcW w:w="7938" w:type="dxa"/>
            <w:tcBorders>
              <w:tl2br w:val="nil"/>
              <w:tr2bl w:val="nil"/>
            </w:tcBorders>
            <w:vAlign w:val="center"/>
          </w:tcPr>
          <w:p>
            <w:pPr>
              <w:shd w:val="clear"/>
              <w:spacing w:line="380" w:lineRule="exact"/>
              <w:rPr>
                <w:rFonts w:ascii="宋体" w:hAnsi="宋体" w:cs="宋体"/>
                <w:szCs w:val="21"/>
                <w:highlight w:val="none"/>
              </w:rPr>
            </w:pPr>
            <w:r>
              <w:rPr>
                <w:rFonts w:hint="eastAsia" w:ascii="宋体" w:hAnsi="宋体" w:cs="宋体"/>
                <w:szCs w:val="21"/>
                <w:highlight w:val="none"/>
              </w:rPr>
              <w:t>招标代理机构：广东必鼎工程项目管理有限公司</w:t>
            </w:r>
          </w:p>
          <w:p>
            <w:pPr>
              <w:shd w:val="clear"/>
              <w:spacing w:line="380" w:lineRule="exact"/>
              <w:rPr>
                <w:rFonts w:ascii="宋体" w:hAnsi="宋体" w:cs="宋体"/>
                <w:szCs w:val="21"/>
                <w:highlight w:val="none"/>
              </w:rPr>
            </w:pPr>
            <w:r>
              <w:rPr>
                <w:rFonts w:hint="eastAsia" w:ascii="宋体" w:hAnsi="宋体" w:cs="宋体"/>
                <w:szCs w:val="21"/>
                <w:highlight w:val="none"/>
              </w:rPr>
              <w:t>地址：广东省佛山市顺德区大良街道逢沙村萃智路1号车创置业广场1栋601房</w:t>
            </w:r>
          </w:p>
          <w:p>
            <w:pPr>
              <w:shd w:val="clear"/>
              <w:adjustRightInd w:val="0"/>
              <w:snapToGrid w:val="0"/>
              <w:spacing w:line="380" w:lineRule="exact"/>
              <w:rPr>
                <w:rFonts w:ascii="宋体" w:hAnsi="宋体" w:cs="宋体"/>
                <w:szCs w:val="21"/>
                <w:highlight w:val="none"/>
              </w:rPr>
            </w:pPr>
            <w:r>
              <w:rPr>
                <w:rFonts w:hint="eastAsia" w:ascii="宋体" w:hAnsi="宋体" w:cs="宋体"/>
                <w:szCs w:val="21"/>
                <w:highlight w:val="none"/>
              </w:rPr>
              <w:t>电话：0757-82593498。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9093" w:type="dxa"/>
            <w:gridSpan w:val="2"/>
            <w:tcBorders>
              <w:tl2br w:val="nil"/>
              <w:tr2bl w:val="nil"/>
            </w:tcBorders>
            <w:vAlign w:val="center"/>
          </w:tcPr>
          <w:p>
            <w:pPr>
              <w:shd w:val="clear"/>
              <w:jc w:val="center"/>
              <w:rPr>
                <w:rFonts w:ascii="宋体" w:hAnsi="宋体" w:cs="宋体"/>
                <w:szCs w:val="21"/>
                <w:highlight w:val="none"/>
              </w:rPr>
            </w:pPr>
            <w:r>
              <w:rPr>
                <w:rFonts w:hint="eastAsia" w:ascii="宋体" w:hAnsi="宋体" w:cs="宋体"/>
                <w:b/>
                <w:szCs w:val="21"/>
                <w:highlight w:val="none"/>
              </w:rPr>
              <w:t>二、招标文件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7.3</w:t>
            </w:r>
          </w:p>
        </w:tc>
        <w:tc>
          <w:tcPr>
            <w:tcW w:w="7938" w:type="dxa"/>
            <w:tcBorders>
              <w:tl2br w:val="nil"/>
              <w:tr2bl w:val="nil"/>
            </w:tcBorders>
            <w:vAlign w:val="center"/>
          </w:tcPr>
          <w:p>
            <w:pPr>
              <w:shd w:val="clear"/>
              <w:adjustRightInd w:val="0"/>
              <w:snapToGrid w:val="0"/>
              <w:spacing w:line="380" w:lineRule="exact"/>
              <w:rPr>
                <w:rFonts w:ascii="宋体" w:hAnsi="宋体" w:cs="宋体"/>
                <w:szCs w:val="21"/>
                <w:highlight w:val="none"/>
              </w:rPr>
            </w:pPr>
            <w:r>
              <w:rPr>
                <w:rFonts w:hint="eastAsia" w:ascii="宋体" w:hAnsi="宋体" w:cs="宋体"/>
                <w:szCs w:val="21"/>
                <w:highlight w:val="none"/>
              </w:rPr>
              <w:t>现场考察：自行考察。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8.1</w:t>
            </w:r>
          </w:p>
        </w:tc>
        <w:tc>
          <w:tcPr>
            <w:tcW w:w="7938"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投标截止日期和时间：按招标文件第一章规定。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9093" w:type="dxa"/>
            <w:gridSpan w:val="2"/>
            <w:tcBorders>
              <w:tl2br w:val="nil"/>
              <w:tr2bl w:val="nil"/>
            </w:tcBorders>
            <w:vAlign w:val="center"/>
          </w:tcPr>
          <w:p>
            <w:pPr>
              <w:shd w:val="clear"/>
              <w:jc w:val="center"/>
              <w:rPr>
                <w:rFonts w:ascii="宋体" w:hAnsi="宋体" w:cs="宋体"/>
                <w:b/>
                <w:szCs w:val="21"/>
                <w:highlight w:val="none"/>
              </w:rPr>
            </w:pPr>
            <w:r>
              <w:rPr>
                <w:rFonts w:hint="eastAsia" w:ascii="宋体" w:hAnsi="宋体" w:cs="宋体"/>
                <w:b/>
                <w:szCs w:val="21"/>
                <w:highlight w:val="none"/>
              </w:rPr>
              <w:t>三、投标文件的编制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12.5</w:t>
            </w:r>
          </w:p>
        </w:tc>
        <w:tc>
          <w:tcPr>
            <w:tcW w:w="7938"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投标人所报的投标价在合同执行过程中是固定不变的，不得以任何理由予以变更。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28"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12.6</w:t>
            </w:r>
          </w:p>
        </w:tc>
        <w:tc>
          <w:tcPr>
            <w:tcW w:w="7938"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不允许有备选方案，否则将被视为无效投标。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28"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12.7</w:t>
            </w:r>
          </w:p>
        </w:tc>
        <w:tc>
          <w:tcPr>
            <w:tcW w:w="7938"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不允许附加条件报价，否则将被视为无效投标。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28"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17.1</w:t>
            </w:r>
          </w:p>
        </w:tc>
        <w:tc>
          <w:tcPr>
            <w:tcW w:w="7938" w:type="dxa"/>
            <w:tcBorders>
              <w:tl2br w:val="nil"/>
              <w:tr2bl w:val="nil"/>
            </w:tcBorders>
            <w:vAlign w:val="center"/>
          </w:tcPr>
          <w:p>
            <w:pPr>
              <w:numPr>
                <w:ilvl w:val="0"/>
                <w:numId w:val="9"/>
              </w:numPr>
              <w:shd w:val="clear"/>
              <w:rPr>
                <w:rFonts w:ascii="宋体" w:hAnsi="宋体" w:cs="宋体"/>
                <w:szCs w:val="21"/>
                <w:highlight w:val="none"/>
              </w:rPr>
            </w:pPr>
            <w:r>
              <w:rPr>
                <w:rFonts w:hint="eastAsia" w:ascii="宋体" w:hAnsi="宋体" w:cs="宋体"/>
                <w:szCs w:val="21"/>
                <w:highlight w:val="none"/>
              </w:rPr>
              <w:t>在规定时间内，投标人投标保证金必须采用转账或电汇方式，由投标人注册地基本账户（不含分公司账户）转出，转入</w:t>
            </w:r>
            <w:r>
              <w:rPr>
                <w:rFonts w:hint="eastAsia" w:ascii="宋体" w:hAnsi="宋体" w:cs="宋体"/>
                <w:kern w:val="0"/>
                <w:szCs w:val="21"/>
                <w:highlight w:val="none"/>
              </w:rPr>
              <w:t>佛山市南海公有资产流转服务有限公司</w:t>
            </w:r>
            <w:r>
              <w:rPr>
                <w:rFonts w:hint="eastAsia" w:ascii="宋体" w:hAnsi="宋体" w:cs="宋体"/>
                <w:szCs w:val="21"/>
                <w:highlight w:val="none"/>
              </w:rPr>
              <w:t>专用存款账户；</w:t>
            </w:r>
          </w:p>
          <w:p>
            <w:pPr>
              <w:numPr>
                <w:ilvl w:val="0"/>
                <w:numId w:val="9"/>
              </w:numPr>
              <w:shd w:val="clear"/>
              <w:rPr>
                <w:rFonts w:ascii="宋体" w:hAnsi="宋体" w:cs="宋体"/>
                <w:szCs w:val="21"/>
                <w:highlight w:val="none"/>
              </w:rPr>
            </w:pPr>
            <w:r>
              <w:rPr>
                <w:rFonts w:hint="eastAsia" w:ascii="宋体" w:hAnsi="宋体" w:cs="宋体"/>
                <w:b/>
                <w:bCs/>
                <w:szCs w:val="21"/>
                <w:highlight w:val="none"/>
              </w:rPr>
              <w:t>投标人在开标会前，必须向招标代理机构提交有《企业采购保证金退付委托书》和营业执照复印件（均需加盖投标人公章）</w:t>
            </w:r>
            <w:r>
              <w:rPr>
                <w:rFonts w:hint="eastAsia" w:ascii="宋体" w:hAnsi="宋体" w:cs="宋体"/>
                <w:szCs w:val="21"/>
                <w:highlight w:val="none"/>
              </w:rPr>
              <w:t>，作为退付保证金材料。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28"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18.1</w:t>
            </w:r>
          </w:p>
        </w:tc>
        <w:tc>
          <w:tcPr>
            <w:tcW w:w="7938"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投标有效期：90天。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28"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19.1</w:t>
            </w:r>
          </w:p>
        </w:tc>
        <w:tc>
          <w:tcPr>
            <w:tcW w:w="7938"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投标文件份数：正本一份，副本五份，电子文件一份。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28" w:hRule="atLeast"/>
        </w:trPr>
        <w:tc>
          <w:tcPr>
            <w:tcW w:w="9093" w:type="dxa"/>
            <w:gridSpan w:val="2"/>
            <w:tcBorders>
              <w:tl2br w:val="nil"/>
              <w:tr2bl w:val="nil"/>
            </w:tcBorders>
            <w:vAlign w:val="center"/>
          </w:tcPr>
          <w:p>
            <w:pPr>
              <w:shd w:val="clear"/>
              <w:jc w:val="center"/>
              <w:rPr>
                <w:rFonts w:ascii="宋体" w:hAnsi="宋体" w:cs="宋体"/>
                <w:b/>
                <w:szCs w:val="21"/>
                <w:highlight w:val="none"/>
              </w:rPr>
            </w:pPr>
            <w:r>
              <w:rPr>
                <w:rFonts w:hint="eastAsia" w:ascii="宋体" w:hAnsi="宋体" w:cs="宋体"/>
                <w:b/>
                <w:szCs w:val="21"/>
                <w:highlight w:val="none"/>
              </w:rPr>
              <w:t>四、投标文件的递交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28"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20.2.1</w:t>
            </w:r>
          </w:p>
        </w:tc>
        <w:tc>
          <w:tcPr>
            <w:tcW w:w="7938" w:type="dxa"/>
            <w:tcBorders>
              <w:tl2br w:val="nil"/>
              <w:tr2bl w:val="nil"/>
            </w:tcBorders>
            <w:vAlign w:val="center"/>
          </w:tcPr>
          <w:p>
            <w:pPr>
              <w:shd w:val="clear"/>
              <w:ind w:left="105" w:hanging="105" w:hangingChars="50"/>
              <w:rPr>
                <w:rFonts w:ascii="宋体" w:hAnsi="宋体" w:cs="宋体"/>
                <w:szCs w:val="21"/>
                <w:highlight w:val="none"/>
              </w:rPr>
            </w:pPr>
            <w:r>
              <w:rPr>
                <w:rFonts w:hint="eastAsia" w:ascii="宋体" w:hAnsi="宋体" w:cs="宋体"/>
                <w:szCs w:val="21"/>
                <w:highlight w:val="none"/>
              </w:rPr>
              <w:t>投标文件递交地址：按招标文件第一章投标邀请中规定。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21.1</w:t>
            </w:r>
          </w:p>
        </w:tc>
        <w:tc>
          <w:tcPr>
            <w:tcW w:w="7938"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开标日期、时间和地点：按招标文件第一章投标邀请中规定。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9093" w:type="dxa"/>
            <w:gridSpan w:val="2"/>
            <w:tcBorders>
              <w:tl2br w:val="nil"/>
              <w:tr2bl w:val="nil"/>
            </w:tcBorders>
            <w:vAlign w:val="center"/>
          </w:tcPr>
          <w:p>
            <w:pPr>
              <w:shd w:val="clear"/>
              <w:jc w:val="center"/>
              <w:rPr>
                <w:rFonts w:ascii="宋体" w:hAnsi="宋体" w:cs="宋体"/>
                <w:szCs w:val="21"/>
                <w:highlight w:val="none"/>
              </w:rPr>
            </w:pPr>
            <w:r>
              <w:rPr>
                <w:rFonts w:hint="eastAsia" w:ascii="宋体" w:hAnsi="宋体" w:cs="宋体"/>
                <w:b/>
                <w:szCs w:val="21"/>
                <w:highlight w:val="none"/>
              </w:rPr>
              <w:t>五、开标与评标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24.1</w:t>
            </w:r>
          </w:p>
        </w:tc>
        <w:tc>
          <w:tcPr>
            <w:tcW w:w="7938" w:type="dxa"/>
            <w:tcBorders>
              <w:tl2br w:val="nil"/>
              <w:tr2bl w:val="nil"/>
            </w:tcBorders>
            <w:vAlign w:val="center"/>
          </w:tcPr>
          <w:p>
            <w:pPr>
              <w:shd w:val="clear"/>
              <w:rPr>
                <w:rFonts w:ascii="宋体" w:hAnsi="宋体" w:cs="宋体"/>
                <w:szCs w:val="21"/>
                <w:highlight w:val="none"/>
              </w:rPr>
            </w:pPr>
            <w:r>
              <w:rPr>
                <w:rFonts w:hint="eastAsia" w:ascii="宋体" w:hAnsi="宋体" w:cs="宋体"/>
                <w:kern w:val="0"/>
                <w:szCs w:val="21"/>
                <w:highlight w:val="none"/>
                <w:lang w:val="zh-CN"/>
              </w:rPr>
              <w:t>评标委员会由5名单数组成，均</w:t>
            </w:r>
            <w:r>
              <w:rPr>
                <w:rFonts w:hint="eastAsia" w:ascii="宋体" w:hAnsi="宋体" w:cs="宋体"/>
                <w:bCs/>
                <w:kern w:val="0"/>
                <w:szCs w:val="21"/>
                <w:highlight w:val="none"/>
              </w:rPr>
              <w:t>从</w:t>
            </w:r>
            <w:r>
              <w:rPr>
                <w:rFonts w:hint="eastAsia" w:ascii="宋体" w:hAnsi="宋体" w:cs="宋体"/>
                <w:kern w:val="0"/>
                <w:szCs w:val="21"/>
                <w:highlight w:val="none"/>
                <w:lang w:val="zh-CN"/>
              </w:rPr>
              <w:t>广东省综合评标评审专家库随机抽取的专家组成。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28.2</w:t>
            </w:r>
          </w:p>
        </w:tc>
        <w:tc>
          <w:tcPr>
            <w:tcW w:w="7938" w:type="dxa"/>
            <w:tcBorders>
              <w:tl2br w:val="nil"/>
              <w:tr2bl w:val="nil"/>
            </w:tcBorders>
            <w:vAlign w:val="center"/>
          </w:tcPr>
          <w:p>
            <w:pPr>
              <w:shd w:val="clear"/>
              <w:rPr>
                <w:rFonts w:ascii="宋体" w:hAnsi="宋体" w:cs="宋体"/>
                <w:bCs/>
                <w:szCs w:val="21"/>
                <w:highlight w:val="none"/>
              </w:rPr>
            </w:pPr>
            <w:r>
              <w:rPr>
                <w:rFonts w:hint="eastAsia" w:ascii="宋体" w:hAnsi="宋体" w:cs="宋体"/>
                <w:bCs/>
                <w:szCs w:val="21"/>
                <w:highlight w:val="none"/>
              </w:rPr>
              <w:t>评标方法：采用综合评分法。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28.2</w:t>
            </w:r>
          </w:p>
        </w:tc>
        <w:tc>
          <w:tcPr>
            <w:tcW w:w="7938" w:type="dxa"/>
            <w:tcBorders>
              <w:tl2br w:val="nil"/>
              <w:tr2bl w:val="nil"/>
            </w:tcBorders>
            <w:vAlign w:val="center"/>
          </w:tcPr>
          <w:p>
            <w:pPr>
              <w:shd w:val="clear"/>
              <w:rPr>
                <w:rFonts w:ascii="宋体" w:hAnsi="宋体" w:cs="宋体"/>
                <w:bCs/>
                <w:szCs w:val="21"/>
                <w:highlight w:val="none"/>
              </w:rPr>
            </w:pPr>
            <w:r>
              <w:rPr>
                <w:rFonts w:hint="eastAsia" w:ascii="宋体" w:hAnsi="宋体" w:cs="宋体"/>
                <w:bCs/>
                <w:szCs w:val="21"/>
                <w:highlight w:val="none"/>
              </w:rPr>
              <w:t>定标原则：推荐综合得分排名第一的投标人为第一中标候选人。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9093" w:type="dxa"/>
            <w:gridSpan w:val="2"/>
            <w:tcBorders>
              <w:tl2br w:val="nil"/>
              <w:tr2bl w:val="nil"/>
            </w:tcBorders>
            <w:vAlign w:val="center"/>
          </w:tcPr>
          <w:p>
            <w:pPr>
              <w:shd w:val="clear"/>
              <w:jc w:val="center"/>
              <w:rPr>
                <w:rFonts w:ascii="宋体" w:hAnsi="宋体" w:cs="宋体"/>
                <w:szCs w:val="21"/>
                <w:highlight w:val="none"/>
              </w:rPr>
            </w:pPr>
            <w:r>
              <w:rPr>
                <w:rFonts w:hint="eastAsia" w:ascii="宋体" w:hAnsi="宋体" w:cs="宋体"/>
                <w:b/>
                <w:szCs w:val="21"/>
                <w:highlight w:val="none"/>
              </w:rPr>
              <w:t>六、授予合同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28" w:hRule="atLeast"/>
        </w:trPr>
        <w:tc>
          <w:tcPr>
            <w:tcW w:w="115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32.1</w:t>
            </w:r>
          </w:p>
        </w:tc>
        <w:tc>
          <w:tcPr>
            <w:tcW w:w="7938" w:type="dxa"/>
            <w:tcBorders>
              <w:tl2br w:val="nil"/>
              <w:tr2bl w:val="nil"/>
            </w:tcBorders>
            <w:vAlign w:val="center"/>
          </w:tcPr>
          <w:p>
            <w:pPr>
              <w:shd w:val="clear"/>
              <w:spacing w:line="300" w:lineRule="auto"/>
              <w:rPr>
                <w:rFonts w:ascii="宋体" w:hAnsi="宋体" w:cs="宋体"/>
                <w:szCs w:val="21"/>
                <w:highlight w:val="none"/>
              </w:rPr>
            </w:pPr>
            <w:r>
              <w:rPr>
                <w:rFonts w:hint="eastAsia" w:ascii="宋体" w:hAnsi="宋体" w:cs="宋体"/>
                <w:szCs w:val="21"/>
                <w:highlight w:val="none"/>
              </w:rPr>
              <w:t>合同签订时间：自《中标通知书》发出之日起</w:t>
            </w:r>
            <w:r>
              <w:rPr>
                <w:rFonts w:hint="eastAsia" w:ascii="宋体" w:hAnsi="宋体" w:cs="宋体"/>
                <w:szCs w:val="21"/>
                <w:highlight w:val="none"/>
                <w:lang w:val="en-US" w:eastAsia="zh-CN"/>
              </w:rPr>
              <w:t>十</w:t>
            </w:r>
            <w:r>
              <w:rPr>
                <w:rFonts w:hint="eastAsia" w:ascii="宋体" w:hAnsi="宋体" w:cs="宋体"/>
                <w:szCs w:val="21"/>
                <w:highlight w:val="none"/>
              </w:rPr>
              <w:t>五个工作日内。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tl2br w:val="nil"/>
              <w:tr2bl w:val="nil"/>
            </w:tcBorders>
            <w:vAlign w:val="center"/>
          </w:tcPr>
          <w:p>
            <w:pPr>
              <w:shd w:val="clear"/>
              <w:adjustRightInd w:val="0"/>
              <w:snapToGrid w:val="0"/>
              <w:spacing w:line="380" w:lineRule="exact"/>
              <w:jc w:val="center"/>
              <w:rPr>
                <w:rFonts w:ascii="宋体" w:hAnsi="宋体" w:cs="宋体"/>
                <w:szCs w:val="21"/>
                <w:highlight w:val="none"/>
              </w:rPr>
            </w:pPr>
            <w:r>
              <w:rPr>
                <w:rFonts w:hint="eastAsia" w:ascii="宋体" w:hAnsi="宋体" w:cs="宋体"/>
                <w:szCs w:val="21"/>
                <w:highlight w:val="none"/>
              </w:rPr>
              <w:t>33.1</w:t>
            </w:r>
          </w:p>
        </w:tc>
        <w:tc>
          <w:tcPr>
            <w:tcW w:w="7938" w:type="dxa"/>
            <w:tcBorders>
              <w:tl2br w:val="nil"/>
              <w:tr2bl w:val="nil"/>
            </w:tcBorders>
            <w:vAlign w:val="center"/>
          </w:tcPr>
          <w:p>
            <w:pPr>
              <w:shd w:val="clear"/>
              <w:adjustRightInd w:val="0"/>
              <w:snapToGrid w:val="0"/>
              <w:spacing w:line="380" w:lineRule="exact"/>
              <w:rPr>
                <w:rFonts w:ascii="宋体" w:hAnsi="宋体" w:cs="宋体"/>
                <w:szCs w:val="21"/>
                <w:highlight w:val="none"/>
              </w:rPr>
            </w:pPr>
            <w:r>
              <w:rPr>
                <w:rFonts w:hint="eastAsia" w:ascii="宋体" w:hAnsi="宋体" w:cs="宋体"/>
                <w:szCs w:val="21"/>
                <w:highlight w:val="none"/>
              </w:rPr>
              <w:t>履约保证金：详见用户需求书。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4" w:hRule="atLeast"/>
        </w:trPr>
        <w:tc>
          <w:tcPr>
            <w:tcW w:w="1155" w:type="dxa"/>
            <w:tcBorders>
              <w:tl2br w:val="nil"/>
              <w:tr2bl w:val="nil"/>
            </w:tcBorders>
            <w:vAlign w:val="center"/>
          </w:tcPr>
          <w:p>
            <w:pPr>
              <w:shd w:val="clear"/>
              <w:adjustRightInd w:val="0"/>
              <w:snapToGrid w:val="0"/>
              <w:spacing w:line="380" w:lineRule="exact"/>
              <w:jc w:val="center"/>
              <w:rPr>
                <w:rFonts w:ascii="宋体" w:hAnsi="宋体" w:cs="宋体"/>
                <w:szCs w:val="21"/>
                <w:highlight w:val="none"/>
              </w:rPr>
            </w:pPr>
            <w:r>
              <w:rPr>
                <w:rFonts w:hint="eastAsia" w:ascii="宋体" w:hAnsi="宋体" w:cs="宋体"/>
                <w:szCs w:val="21"/>
                <w:highlight w:val="none"/>
              </w:rPr>
              <w:t>34.2</w:t>
            </w:r>
          </w:p>
        </w:tc>
        <w:tc>
          <w:tcPr>
            <w:tcW w:w="7938" w:type="dxa"/>
            <w:tcBorders>
              <w:tl2br w:val="nil"/>
              <w:tr2bl w:val="nil"/>
            </w:tcBorders>
          </w:tcPr>
          <w:p>
            <w:pPr>
              <w:numPr>
                <w:ilvl w:val="0"/>
                <w:numId w:val="10"/>
              </w:numPr>
              <w:shd w:val="clear"/>
              <w:adjustRightInd w:val="0"/>
              <w:snapToGrid w:val="0"/>
              <w:spacing w:line="360" w:lineRule="auto"/>
              <w:rPr>
                <w:rFonts w:ascii="宋体" w:hAnsi="宋体" w:cs="宋体"/>
                <w:szCs w:val="21"/>
                <w:highlight w:val="none"/>
              </w:rPr>
            </w:pPr>
            <w:r>
              <w:rPr>
                <w:rFonts w:hint="eastAsia" w:ascii="宋体" w:hAnsi="宋体" w:cs="宋体"/>
                <w:szCs w:val="21"/>
                <w:highlight w:val="none"/>
              </w:rPr>
              <w:t>中标人须向招标代理机构按如下标准和规定缴纳招标代理服务费：</w:t>
            </w:r>
          </w:p>
          <w:p>
            <w:pPr>
              <w:numPr>
                <w:ilvl w:val="0"/>
                <w:numId w:val="11"/>
              </w:numPr>
              <w:shd w:val="clear"/>
              <w:adjustRightInd w:val="0"/>
              <w:snapToGrid w:val="0"/>
              <w:spacing w:line="360" w:lineRule="auto"/>
              <w:rPr>
                <w:rFonts w:ascii="宋体" w:hAnsi="宋体" w:cs="宋体"/>
                <w:szCs w:val="21"/>
                <w:highlight w:val="none"/>
              </w:rPr>
            </w:pPr>
            <w:r>
              <w:rPr>
                <w:rFonts w:hint="eastAsia" w:ascii="宋体" w:hAnsi="宋体" w:cs="宋体"/>
                <w:szCs w:val="21"/>
                <w:highlight w:val="none"/>
              </w:rPr>
              <w:t>以中标通知书中的中标金额</w:t>
            </w:r>
            <w:r>
              <w:rPr>
                <w:rFonts w:hint="eastAsia" w:ascii="宋体" w:hAnsi="宋体" w:cs="宋体"/>
                <w:bCs/>
                <w:szCs w:val="21"/>
                <w:highlight w:val="none"/>
              </w:rPr>
              <w:t>作为招标代理服务费的计算基数。</w:t>
            </w:r>
          </w:p>
          <w:p>
            <w:pPr>
              <w:shd w:val="clea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招标代理服务费收费采用差额定率累进法计算方式。按中华人民共和国国家发展计划委员会颁发的计价格[2002]1980号、国家发改委[2003]857号及发改价格</w:t>
            </w:r>
            <w:r>
              <w:rPr>
                <w:rFonts w:hint="eastAsia" w:ascii="宋体" w:hAnsi="宋体" w:cs="宋体"/>
                <w:szCs w:val="21"/>
                <w:highlight w:val="none"/>
              </w:rPr>
              <w:sym w:font="Symbol" w:char="F05B"/>
            </w:r>
            <w:r>
              <w:rPr>
                <w:rFonts w:hint="eastAsia" w:ascii="宋体" w:hAnsi="宋体" w:cs="宋体"/>
                <w:szCs w:val="21"/>
                <w:highlight w:val="none"/>
              </w:rPr>
              <w:t>2011</w:t>
            </w:r>
            <w:r>
              <w:rPr>
                <w:rFonts w:hint="eastAsia" w:ascii="宋体" w:hAnsi="宋体" w:cs="宋体"/>
                <w:szCs w:val="21"/>
                <w:highlight w:val="none"/>
              </w:rPr>
              <w:sym w:font="Symbol" w:char="F05D"/>
            </w:r>
            <w:r>
              <w:rPr>
                <w:rFonts w:hint="eastAsia" w:ascii="宋体" w:hAnsi="宋体" w:cs="宋体"/>
                <w:szCs w:val="21"/>
                <w:highlight w:val="none"/>
              </w:rPr>
              <w:t>534号文规定的“服务类”计算。</w:t>
            </w:r>
          </w:p>
          <w:p>
            <w:pPr>
              <w:numPr>
                <w:ilvl w:val="0"/>
                <w:numId w:val="11"/>
              </w:numPr>
              <w:shd w:val="clear"/>
              <w:adjustRightInd w:val="0"/>
              <w:snapToGrid w:val="0"/>
              <w:spacing w:line="360" w:lineRule="auto"/>
              <w:rPr>
                <w:rFonts w:ascii="宋体" w:hAnsi="宋体" w:cs="宋体"/>
                <w:szCs w:val="21"/>
                <w:highlight w:val="none"/>
              </w:rPr>
            </w:pPr>
            <w:r>
              <w:rPr>
                <w:rFonts w:hint="eastAsia" w:ascii="宋体" w:hAnsi="宋体" w:cs="宋体"/>
                <w:szCs w:val="21"/>
                <w:highlight w:val="none"/>
              </w:rPr>
              <w:t xml:space="preserve">招标代理服务费的缴纳形式：向招标代理机构直接缴纳招标代理服务费。可用支票、汇票、电汇、现金等付款方式。 </w:t>
            </w:r>
          </w:p>
          <w:p>
            <w:pPr>
              <w:numPr>
                <w:ilvl w:val="0"/>
                <w:numId w:val="10"/>
              </w:numPr>
              <w:shd w:val="clear"/>
              <w:adjustRightInd w:val="0"/>
              <w:snapToGrid w:val="0"/>
              <w:spacing w:line="360" w:lineRule="auto"/>
              <w:rPr>
                <w:rFonts w:ascii="宋体" w:hAnsi="宋体" w:cs="宋体"/>
                <w:szCs w:val="21"/>
                <w:highlight w:val="none"/>
              </w:rPr>
            </w:pPr>
            <w:r>
              <w:rPr>
                <w:rFonts w:hint="eastAsia" w:ascii="宋体" w:hAnsi="宋体" w:cs="宋体"/>
                <w:szCs w:val="21"/>
                <w:highlight w:val="none"/>
              </w:rPr>
              <w:t>投标人应签署第七章所附格式的招标代理服务费承诺书，作为投标文件的一部分。</w:t>
            </w:r>
          </w:p>
          <w:p>
            <w:pPr>
              <w:numPr>
                <w:ilvl w:val="0"/>
                <w:numId w:val="10"/>
              </w:numPr>
              <w:shd w:val="clear"/>
              <w:adjustRightInd w:val="0"/>
              <w:snapToGrid w:val="0"/>
              <w:spacing w:line="360" w:lineRule="auto"/>
              <w:rPr>
                <w:rFonts w:ascii="宋体" w:hAnsi="宋体" w:cs="宋体"/>
                <w:szCs w:val="21"/>
                <w:highlight w:val="none"/>
              </w:rPr>
            </w:pPr>
            <w:r>
              <w:rPr>
                <w:rFonts w:hint="eastAsia" w:ascii="宋体" w:hAnsi="宋体" w:cs="宋体"/>
                <w:bCs/>
                <w:szCs w:val="21"/>
                <w:highlight w:val="none"/>
              </w:rPr>
              <w:t>中标人须</w:t>
            </w:r>
            <w:r>
              <w:rPr>
                <w:rFonts w:hint="eastAsia" w:ascii="宋体" w:hAnsi="宋体" w:cs="宋体"/>
                <w:b/>
                <w:bCs/>
                <w:szCs w:val="21"/>
                <w:highlight w:val="none"/>
              </w:rPr>
              <w:t>凭领取人的身份证复印件并加盖公章</w:t>
            </w:r>
            <w:r>
              <w:rPr>
                <w:rFonts w:hint="eastAsia" w:ascii="宋体" w:hAnsi="宋体" w:cs="宋体"/>
                <w:bCs/>
                <w:szCs w:val="21"/>
                <w:highlight w:val="none"/>
              </w:rPr>
              <w:t>领取中标通知书。</w:t>
            </w:r>
          </w:p>
        </w:tc>
      </w:tr>
    </w:tbl>
    <w:p>
      <w:pPr>
        <w:shd w:val="clear"/>
        <w:adjustRightInd w:val="0"/>
        <w:snapToGrid w:val="0"/>
        <w:spacing w:before="156" w:beforeLines="50" w:after="156" w:afterLines="50" w:line="360" w:lineRule="auto"/>
        <w:jc w:val="center"/>
        <w:outlineLvl w:val="0"/>
        <w:rPr>
          <w:rFonts w:ascii="Times New Roman" w:hAnsi="Times New Roman"/>
          <w:b/>
          <w:bCs/>
          <w:sz w:val="28"/>
          <w:szCs w:val="28"/>
          <w:highlight w:val="none"/>
        </w:rPr>
      </w:pPr>
      <w:r>
        <w:rPr>
          <w:rFonts w:hint="eastAsia" w:ascii="宋体" w:hAnsi="宋体" w:cs="宋体"/>
          <w:szCs w:val="21"/>
          <w:highlight w:val="none"/>
        </w:rPr>
        <w:br w:type="page"/>
      </w:r>
      <w:bookmarkStart w:id="2" w:name="_Toc31360"/>
      <w:r>
        <w:rPr>
          <w:rFonts w:hint="eastAsia" w:ascii="Times New Roman" w:hAnsi="Times New Roman"/>
          <w:b/>
          <w:bCs/>
          <w:sz w:val="28"/>
          <w:szCs w:val="28"/>
          <w:highlight w:val="none"/>
        </w:rPr>
        <w:t>第三章  用户需求书</w:t>
      </w:r>
      <w:bookmarkEnd w:id="2"/>
    </w:p>
    <w:p>
      <w:pPr>
        <w:shd w:val="clear"/>
        <w:snapToGrid w:val="0"/>
        <w:spacing w:line="360" w:lineRule="auto"/>
        <w:rPr>
          <w:rFonts w:ascii="宋体" w:hAnsi="宋体" w:cs="宋体"/>
          <w:b/>
          <w:bCs/>
          <w:szCs w:val="21"/>
          <w:highlight w:val="none"/>
        </w:rPr>
      </w:pPr>
      <w:r>
        <w:rPr>
          <w:rFonts w:hint="eastAsia" w:ascii="宋体" w:hAnsi="宋体" w:cs="宋体"/>
          <w:b/>
          <w:bCs/>
          <w:szCs w:val="21"/>
          <w:highlight w:val="none"/>
        </w:rPr>
        <w:t>说明：</w:t>
      </w:r>
    </w:p>
    <w:p>
      <w:pPr>
        <w:numPr>
          <w:ilvl w:val="0"/>
          <w:numId w:val="12"/>
        </w:numPr>
        <w:shd w:val="clear"/>
        <w:snapToGrid w:val="0"/>
        <w:spacing w:line="360" w:lineRule="auto"/>
        <w:rPr>
          <w:rFonts w:ascii="宋体" w:hAnsi="宋体" w:cs="宋体"/>
          <w:b/>
          <w:bCs/>
          <w:szCs w:val="21"/>
          <w:highlight w:val="none"/>
        </w:rPr>
      </w:pPr>
      <w:r>
        <w:rPr>
          <w:rFonts w:hint="eastAsia" w:ascii="宋体" w:hAnsi="宋体" w:cs="宋体"/>
          <w:b/>
          <w:bCs/>
          <w:szCs w:val="21"/>
          <w:highlight w:val="none"/>
        </w:rPr>
        <w:t>投标人须对本项目为单位的服务内容进行整体投标，任何只对服务内容其中一部分内容进行的投标都被视为无效投标。</w:t>
      </w:r>
    </w:p>
    <w:p>
      <w:pPr>
        <w:numPr>
          <w:ilvl w:val="0"/>
          <w:numId w:val="12"/>
        </w:numPr>
        <w:shd w:val="clear"/>
        <w:spacing w:line="360" w:lineRule="auto"/>
        <w:rPr>
          <w:rFonts w:ascii="宋体" w:hAnsi="宋体" w:cs="宋体"/>
          <w:b/>
          <w:bCs/>
          <w:szCs w:val="21"/>
          <w:highlight w:val="none"/>
        </w:rPr>
      </w:pPr>
      <w:r>
        <w:rPr>
          <w:rFonts w:hint="eastAsia" w:ascii="宋体" w:hAnsi="宋体" w:cs="宋体"/>
          <w:b/>
          <w:bCs/>
          <w:szCs w:val="21"/>
          <w:highlight w:val="none"/>
        </w:rPr>
        <w:t>用户需求书中打“★”号条款及商务要求均为实质性条款，投标人如有任何一条负偏离则导致投标无效。</w:t>
      </w:r>
    </w:p>
    <w:p>
      <w:pPr>
        <w:numPr>
          <w:ilvl w:val="0"/>
          <w:numId w:val="12"/>
        </w:numPr>
        <w:shd w:val="clear"/>
        <w:spacing w:line="360" w:lineRule="auto"/>
        <w:rPr>
          <w:rFonts w:ascii="宋体" w:hAnsi="宋体" w:cs="宋体"/>
          <w:b/>
          <w:bCs/>
          <w:szCs w:val="21"/>
          <w:highlight w:val="none"/>
        </w:rPr>
      </w:pPr>
      <w:r>
        <w:rPr>
          <w:rFonts w:hint="eastAsia" w:ascii="宋体" w:hAnsi="宋体" w:cs="宋体"/>
          <w:b/>
          <w:bCs/>
          <w:szCs w:val="21"/>
          <w:highlight w:val="none"/>
        </w:rPr>
        <w:t>项目内容</w:t>
      </w:r>
    </w:p>
    <w:tbl>
      <w:tblPr>
        <w:tblStyle w:val="22"/>
        <w:tblW w:w="8737" w:type="dxa"/>
        <w:tblInd w:w="46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97"/>
        <w:gridCol w:w="1132"/>
        <w:gridCol w:w="2552"/>
        <w:gridCol w:w="20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9" w:hRule="atLeast"/>
        </w:trPr>
        <w:tc>
          <w:tcPr>
            <w:tcW w:w="2997" w:type="dxa"/>
            <w:shd w:val="clear" w:color="auto" w:fill="EEECE1"/>
            <w:vAlign w:val="center"/>
          </w:tcPr>
          <w:p>
            <w:pPr>
              <w:shd w:val="clear"/>
              <w:spacing w:line="360" w:lineRule="auto"/>
              <w:jc w:val="center"/>
              <w:rPr>
                <w:rFonts w:ascii="宋体" w:hAnsi="宋体" w:cs="宋体"/>
                <w:b/>
                <w:szCs w:val="21"/>
                <w:highlight w:val="none"/>
              </w:rPr>
            </w:pPr>
            <w:r>
              <w:rPr>
                <w:rFonts w:hint="eastAsia" w:ascii="宋体" w:hAnsi="宋体" w:cs="宋体"/>
                <w:b/>
                <w:szCs w:val="21"/>
                <w:highlight w:val="none"/>
              </w:rPr>
              <w:t>采购内容</w:t>
            </w:r>
          </w:p>
        </w:tc>
        <w:tc>
          <w:tcPr>
            <w:tcW w:w="1132" w:type="dxa"/>
            <w:shd w:val="clear" w:color="auto" w:fill="EEECE1"/>
            <w:vAlign w:val="center"/>
          </w:tcPr>
          <w:p>
            <w:pPr>
              <w:shd w:val="clear"/>
              <w:spacing w:line="360" w:lineRule="auto"/>
              <w:jc w:val="center"/>
              <w:rPr>
                <w:rFonts w:ascii="宋体" w:hAnsi="宋体" w:cs="宋体"/>
                <w:b/>
                <w:szCs w:val="21"/>
                <w:highlight w:val="none"/>
              </w:rPr>
            </w:pPr>
            <w:r>
              <w:rPr>
                <w:rFonts w:hint="eastAsia" w:ascii="宋体" w:hAnsi="宋体" w:cs="宋体"/>
                <w:b/>
                <w:szCs w:val="21"/>
                <w:highlight w:val="none"/>
              </w:rPr>
              <w:t>数量</w:t>
            </w:r>
          </w:p>
        </w:tc>
        <w:tc>
          <w:tcPr>
            <w:tcW w:w="2552" w:type="dxa"/>
            <w:shd w:val="clear" w:color="auto" w:fill="EEECE1"/>
            <w:vAlign w:val="center"/>
          </w:tcPr>
          <w:p>
            <w:pPr>
              <w:shd w:val="clear"/>
              <w:jc w:val="center"/>
              <w:rPr>
                <w:rFonts w:hint="eastAsia" w:ascii="宋体" w:hAnsi="宋体" w:cs="宋体"/>
                <w:b/>
                <w:szCs w:val="21"/>
                <w:highlight w:val="none"/>
              </w:rPr>
            </w:pPr>
            <w:r>
              <w:rPr>
                <w:rFonts w:hint="eastAsia" w:ascii="宋体" w:hAnsi="宋体" w:cs="宋体"/>
                <w:b/>
                <w:szCs w:val="21"/>
                <w:highlight w:val="none"/>
              </w:rPr>
              <w:t>服务期</w:t>
            </w:r>
          </w:p>
        </w:tc>
        <w:tc>
          <w:tcPr>
            <w:tcW w:w="2056" w:type="dxa"/>
            <w:shd w:val="clear" w:color="auto" w:fill="EEECE1"/>
            <w:vAlign w:val="center"/>
          </w:tcPr>
          <w:p>
            <w:pPr>
              <w:shd w:val="clear"/>
              <w:jc w:val="center"/>
              <w:rPr>
                <w:rFonts w:ascii="宋体" w:hAnsi="宋体" w:cs="宋体"/>
                <w:b/>
                <w:szCs w:val="21"/>
                <w:highlight w:val="none"/>
              </w:rPr>
            </w:pPr>
            <w:r>
              <w:rPr>
                <w:rFonts w:hint="eastAsia" w:ascii="宋体" w:hAnsi="宋体" w:cs="宋体"/>
                <w:b/>
                <w:szCs w:val="21"/>
                <w:highlight w:val="none"/>
              </w:rPr>
              <w:t>最高限价</w:t>
            </w:r>
          </w:p>
          <w:p>
            <w:pPr>
              <w:shd w:val="clear"/>
              <w:jc w:val="center"/>
              <w:rPr>
                <w:rFonts w:ascii="宋体" w:hAnsi="宋体" w:cs="宋体"/>
                <w:b/>
                <w:szCs w:val="21"/>
                <w:highlight w:val="none"/>
              </w:rPr>
            </w:pPr>
            <w:r>
              <w:rPr>
                <w:rFonts w:hint="eastAsia" w:ascii="宋体" w:hAnsi="宋体" w:cs="宋体"/>
                <w:b/>
                <w:szCs w:val="21"/>
                <w:highlight w:val="none"/>
              </w:rPr>
              <w:t>（人民币 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32" w:hRule="atLeast"/>
        </w:trPr>
        <w:tc>
          <w:tcPr>
            <w:tcW w:w="2997" w:type="dxa"/>
            <w:vAlign w:val="center"/>
          </w:tcPr>
          <w:p>
            <w:pPr>
              <w:shd w:val="clear"/>
              <w:spacing w:line="360" w:lineRule="auto"/>
              <w:jc w:val="center"/>
              <w:rPr>
                <w:rFonts w:ascii="宋体" w:hAnsi="宋体" w:cs="宋体"/>
                <w:szCs w:val="21"/>
                <w:highlight w:val="none"/>
              </w:rPr>
            </w:pPr>
            <w:r>
              <w:rPr>
                <w:rFonts w:hint="eastAsia" w:ascii="宋体" w:hAnsi="宋体" w:cs="宋体"/>
                <w:szCs w:val="21"/>
                <w:highlight w:val="none"/>
              </w:rPr>
              <w:t>千灯湖创投特色小镇核心区物业管理服务</w:t>
            </w:r>
          </w:p>
        </w:tc>
        <w:tc>
          <w:tcPr>
            <w:tcW w:w="1132" w:type="dxa"/>
            <w:vAlign w:val="center"/>
          </w:tcPr>
          <w:p>
            <w:pPr>
              <w:shd w:val="clear"/>
              <w:spacing w:line="360" w:lineRule="auto"/>
              <w:jc w:val="center"/>
              <w:rPr>
                <w:rFonts w:ascii="宋体" w:hAnsi="宋体" w:cs="宋体"/>
                <w:szCs w:val="21"/>
                <w:highlight w:val="none"/>
              </w:rPr>
            </w:pPr>
            <w:r>
              <w:rPr>
                <w:rFonts w:hint="eastAsia" w:ascii="宋体" w:hAnsi="宋体" w:cs="宋体"/>
                <w:szCs w:val="21"/>
                <w:highlight w:val="none"/>
              </w:rPr>
              <w:t>一项</w:t>
            </w:r>
          </w:p>
        </w:tc>
        <w:tc>
          <w:tcPr>
            <w:tcW w:w="2552" w:type="dxa"/>
            <w:vAlign w:val="center"/>
          </w:tcPr>
          <w:p>
            <w:pPr>
              <w:pStyle w:val="61"/>
              <w:shd w:val="clear"/>
              <w:spacing w:line="440" w:lineRule="exact"/>
              <w:ind w:firstLine="120"/>
              <w:rPr>
                <w:rFonts w:hint="eastAsia" w:ascii="宋体" w:hAnsi="宋体" w:cs="宋体"/>
                <w:snapToGrid/>
                <w:spacing w:val="0"/>
                <w:kern w:val="2"/>
                <w:sz w:val="21"/>
                <w:szCs w:val="21"/>
                <w:highlight w:val="none"/>
                <w:lang w:eastAsia="zh-CN"/>
              </w:rPr>
            </w:pPr>
            <w:r>
              <w:rPr>
                <w:rFonts w:hint="eastAsia" w:ascii="宋体" w:hAnsi="宋体" w:cs="宋体"/>
                <w:snapToGrid/>
                <w:spacing w:val="0"/>
                <w:kern w:val="2"/>
                <w:sz w:val="21"/>
                <w:szCs w:val="21"/>
                <w:highlight w:val="none"/>
                <w:lang w:eastAsia="zh-CN"/>
              </w:rPr>
              <w:t>二年（具体服务起始时间以招标人通知为准）</w:t>
            </w:r>
          </w:p>
        </w:tc>
        <w:tc>
          <w:tcPr>
            <w:tcW w:w="2056" w:type="dxa"/>
            <w:vAlign w:val="center"/>
          </w:tcPr>
          <w:p>
            <w:pPr>
              <w:pStyle w:val="61"/>
              <w:shd w:val="clear"/>
              <w:spacing w:line="440" w:lineRule="exact"/>
              <w:ind w:firstLine="120"/>
              <w:rPr>
                <w:rFonts w:hint="eastAsia" w:ascii="宋体" w:hAnsi="宋体" w:eastAsia="宋体" w:cs="宋体"/>
                <w:color w:val="000000"/>
                <w:kern w:val="2"/>
                <w:sz w:val="22"/>
                <w:szCs w:val="22"/>
                <w:highlight w:val="none"/>
                <w:lang w:eastAsia="zh-CN"/>
              </w:rPr>
            </w:pPr>
            <w:r>
              <w:rPr>
                <w:rFonts w:hint="eastAsia" w:ascii="宋体" w:hAnsi="宋体" w:cs="宋体"/>
                <w:snapToGrid/>
                <w:spacing w:val="0"/>
                <w:kern w:val="2"/>
                <w:sz w:val="21"/>
                <w:szCs w:val="21"/>
                <w:highlight w:val="none"/>
                <w:lang w:eastAsia="zh-CN"/>
              </w:rPr>
              <w:t>7,895,161.64</w:t>
            </w:r>
          </w:p>
        </w:tc>
      </w:tr>
    </w:tbl>
    <w:p>
      <w:pPr>
        <w:shd w:val="clear"/>
        <w:adjustRightInd w:val="0"/>
        <w:snapToGrid w:val="0"/>
        <w:spacing w:line="360" w:lineRule="auto"/>
        <w:ind w:left="420"/>
        <w:jc w:val="center"/>
        <w:rPr>
          <w:rFonts w:ascii="宋体" w:hAnsi="宋体" w:cs="宋体"/>
          <w:b/>
          <w:kern w:val="0"/>
          <w:szCs w:val="21"/>
          <w:highlight w:val="none"/>
        </w:rPr>
      </w:pPr>
    </w:p>
    <w:p>
      <w:pPr>
        <w:shd w:val="clear"/>
        <w:adjustRightInd w:val="0"/>
        <w:snapToGrid w:val="0"/>
        <w:spacing w:line="360" w:lineRule="auto"/>
        <w:ind w:left="420"/>
        <w:jc w:val="center"/>
        <w:rPr>
          <w:rFonts w:ascii="宋体" w:hAnsi="宋体" w:cs="宋体"/>
          <w:b/>
          <w:kern w:val="0"/>
          <w:szCs w:val="21"/>
          <w:highlight w:val="none"/>
        </w:rPr>
      </w:pPr>
      <w:r>
        <w:rPr>
          <w:rFonts w:hint="eastAsia" w:ascii="宋体" w:hAnsi="宋体" w:cs="宋体"/>
          <w:b/>
          <w:kern w:val="0"/>
          <w:szCs w:val="21"/>
          <w:highlight w:val="none"/>
        </w:rPr>
        <w:t>第一部分 技术要求</w:t>
      </w:r>
    </w:p>
    <w:p>
      <w:pPr>
        <w:numPr>
          <w:ilvl w:val="0"/>
          <w:numId w:val="13"/>
        </w:numPr>
        <w:shd w:val="clear"/>
        <w:adjustRightInd w:val="0"/>
        <w:snapToGrid w:val="0"/>
        <w:spacing w:line="360" w:lineRule="auto"/>
        <w:ind w:left="1109" w:hanging="689"/>
        <w:rPr>
          <w:rFonts w:ascii="宋体" w:hAnsi="宋体" w:cs="宋体"/>
          <w:b/>
          <w:kern w:val="0"/>
          <w:szCs w:val="21"/>
          <w:highlight w:val="none"/>
        </w:rPr>
      </w:pPr>
      <w:r>
        <w:rPr>
          <w:rFonts w:hint="eastAsia" w:ascii="宋体" w:hAnsi="宋体" w:cs="宋体"/>
          <w:b/>
          <w:kern w:val="0"/>
          <w:szCs w:val="21"/>
          <w:highlight w:val="none"/>
        </w:rPr>
        <w:t>项目概况及范围</w:t>
      </w:r>
    </w:p>
    <w:p>
      <w:pPr>
        <w:numPr>
          <w:ilvl w:val="0"/>
          <w:numId w:val="14"/>
        </w:numPr>
        <w:shd w:val="clear"/>
        <w:adjustRightInd w:val="0"/>
        <w:snapToGrid w:val="0"/>
        <w:spacing w:line="360" w:lineRule="auto"/>
        <w:ind w:left="425" w:hanging="5"/>
        <w:rPr>
          <w:rFonts w:ascii="宋体" w:hAnsi="宋体" w:cs="宋体"/>
          <w:kern w:val="0"/>
          <w:szCs w:val="21"/>
          <w:highlight w:val="none"/>
        </w:rPr>
      </w:pPr>
      <w:r>
        <w:rPr>
          <w:rFonts w:hint="eastAsia" w:ascii="宋体" w:hAnsi="宋体" w:cs="宋体"/>
          <w:kern w:val="0"/>
          <w:szCs w:val="21"/>
          <w:highlight w:val="none"/>
        </w:rPr>
        <w:t>千灯湖创投特色小镇核心区（下称“核心区”）概况</w:t>
      </w:r>
      <w:r>
        <w:rPr>
          <w:rFonts w:hint="eastAsia" w:hAnsi="宋体" w:cs="宋体"/>
          <w:kern w:val="0"/>
          <w:szCs w:val="21"/>
          <w:highlight w:val="none"/>
        </w:rPr>
        <w:t>和范围</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szCs w:val="21"/>
          <w:highlight w:val="none"/>
        </w:rPr>
        <w:t>千灯湖创投特色小镇核心区规划总用地面积约7.8万平方米，一期规划建筑面积约5.8万平方米，二期规划建筑面积约 10万平方米。核心区以天使投资、创业投资、风险投资、股权投资等私募基金类、创新型金融业态为产业特色，打造一个低密度、生态化的舒适办公社区。核心区原有建筑21栋，新建建筑9栋，总建筑面积为58730.96平方米，</w:t>
      </w:r>
      <w:r>
        <w:rPr>
          <w:rFonts w:hint="eastAsia"/>
          <w:highlight w:val="none"/>
        </w:rPr>
        <w:t>其中</w:t>
      </w:r>
      <w:r>
        <w:rPr>
          <w:rFonts w:hint="eastAsia" w:ascii="宋体" w:hAnsi="宋体" w:cs="宋体"/>
          <w:szCs w:val="21"/>
          <w:highlight w:val="none"/>
        </w:rPr>
        <w:t>新建可出租物业建筑面积为8136.39平方米，按规划分为六个功能区:金融集聚区、商业配套区、公共服务区、生活服务区、金融/创新孵化混合区、金融/商业混合区。规划平面图、功能分区图详见招标文件附件1</w:t>
      </w:r>
      <w:r>
        <w:rPr>
          <w:rFonts w:hint="eastAsia" w:ascii="宋体" w:hAnsi="宋体" w:cs="宋体"/>
          <w:kern w:val="0"/>
          <w:szCs w:val="21"/>
          <w:highlight w:val="none"/>
        </w:rPr>
        <w:t>。</w:t>
      </w:r>
    </w:p>
    <w:p>
      <w:pPr>
        <w:shd w:val="clear"/>
        <w:rPr>
          <w:rFonts w:ascii="宋体" w:hAnsi="宋体" w:cs="宋体"/>
          <w:szCs w:val="21"/>
          <w:highlight w:val="none"/>
        </w:rPr>
      </w:pPr>
      <w:r>
        <w:rPr>
          <w:rFonts w:hint="eastAsia" w:ascii="宋体" w:hAnsi="宋体" w:cs="宋体"/>
          <w:szCs w:val="21"/>
          <w:highlight w:val="none"/>
        </w:rPr>
        <w:t xml:space="preserve">     </w:t>
      </w:r>
      <w:r>
        <w:rPr>
          <w:rFonts w:hint="eastAsia" w:ascii="宋体" w:hAnsi="宋体" w:cs="宋体"/>
          <w:kern w:val="0"/>
          <w:szCs w:val="21"/>
          <w:highlight w:val="none"/>
        </w:rPr>
        <w:t xml:space="preserve">  园区建筑面积：</w:t>
      </w:r>
    </w:p>
    <w:tbl>
      <w:tblPr>
        <w:tblStyle w:val="22"/>
        <w:tblW w:w="89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3574"/>
        <w:gridCol w:w="1134"/>
        <w:gridCol w:w="24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12" w:type="dxa"/>
            <w:tcBorders>
              <w:tl2br w:val="nil"/>
              <w:tr2bl w:val="nil"/>
            </w:tcBorders>
            <w:vAlign w:val="center"/>
          </w:tcPr>
          <w:p>
            <w:pPr>
              <w:shd w:val="clear"/>
              <w:jc w:val="center"/>
              <w:rPr>
                <w:rFonts w:ascii="宋体" w:hAnsi="宋体" w:cs="宋体"/>
                <w:b/>
                <w:bCs/>
                <w:kern w:val="0"/>
                <w:szCs w:val="21"/>
                <w:highlight w:val="none"/>
              </w:rPr>
            </w:pPr>
            <w:r>
              <w:rPr>
                <w:rFonts w:hint="eastAsia" w:ascii="宋体" w:hAnsi="宋体" w:cs="宋体"/>
                <w:b/>
                <w:bCs/>
                <w:kern w:val="0"/>
                <w:szCs w:val="21"/>
                <w:highlight w:val="none"/>
              </w:rPr>
              <w:t>物业功能</w:t>
            </w:r>
          </w:p>
        </w:tc>
        <w:tc>
          <w:tcPr>
            <w:tcW w:w="3574" w:type="dxa"/>
            <w:tcBorders>
              <w:tl2br w:val="nil"/>
              <w:tr2bl w:val="nil"/>
            </w:tcBorders>
            <w:vAlign w:val="center"/>
          </w:tcPr>
          <w:p>
            <w:pPr>
              <w:shd w:val="clear"/>
              <w:jc w:val="center"/>
              <w:rPr>
                <w:rFonts w:ascii="宋体" w:hAnsi="宋体" w:cs="宋体"/>
                <w:b/>
                <w:bCs/>
                <w:kern w:val="0"/>
                <w:szCs w:val="21"/>
                <w:highlight w:val="none"/>
              </w:rPr>
            </w:pPr>
            <w:r>
              <w:rPr>
                <w:rFonts w:hint="eastAsia" w:ascii="宋体" w:hAnsi="宋体" w:cs="宋体"/>
                <w:b/>
                <w:bCs/>
                <w:kern w:val="0"/>
                <w:szCs w:val="21"/>
                <w:highlight w:val="none"/>
              </w:rPr>
              <w:t>楼宇编号</w:t>
            </w:r>
          </w:p>
        </w:tc>
        <w:tc>
          <w:tcPr>
            <w:tcW w:w="1134" w:type="dxa"/>
            <w:tcBorders>
              <w:tl2br w:val="nil"/>
              <w:tr2bl w:val="nil"/>
            </w:tcBorders>
            <w:vAlign w:val="center"/>
          </w:tcPr>
          <w:p>
            <w:pPr>
              <w:shd w:val="clear"/>
              <w:jc w:val="center"/>
              <w:rPr>
                <w:rFonts w:ascii="宋体" w:hAnsi="宋体" w:cs="宋体"/>
                <w:b/>
                <w:bCs/>
                <w:kern w:val="0"/>
                <w:szCs w:val="21"/>
                <w:highlight w:val="none"/>
              </w:rPr>
            </w:pPr>
            <w:r>
              <w:rPr>
                <w:rFonts w:hint="eastAsia" w:ascii="宋体" w:hAnsi="宋体" w:cs="宋体"/>
                <w:b/>
                <w:bCs/>
                <w:kern w:val="0"/>
                <w:szCs w:val="21"/>
                <w:highlight w:val="none"/>
              </w:rPr>
              <w:t>面积（㎡）</w:t>
            </w:r>
          </w:p>
        </w:tc>
        <w:tc>
          <w:tcPr>
            <w:tcW w:w="2410" w:type="dxa"/>
            <w:tcBorders>
              <w:tl2br w:val="nil"/>
              <w:tr2bl w:val="nil"/>
            </w:tcBorders>
            <w:vAlign w:val="center"/>
          </w:tcPr>
          <w:p>
            <w:pPr>
              <w:shd w:val="clear"/>
              <w:jc w:val="center"/>
              <w:rPr>
                <w:rFonts w:ascii="宋体" w:hAnsi="宋体" w:cs="宋体"/>
                <w:b/>
                <w:bCs/>
                <w:kern w:val="0"/>
                <w:szCs w:val="21"/>
                <w:highlight w:val="none"/>
              </w:rPr>
            </w:pPr>
            <w:r>
              <w:rPr>
                <w:rFonts w:hint="eastAsia" w:ascii="宋体" w:hAnsi="宋体" w:cs="宋体"/>
                <w:b/>
                <w:bCs/>
                <w:ker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1812"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独栋办公物业</w:t>
            </w:r>
          </w:p>
        </w:tc>
        <w:tc>
          <w:tcPr>
            <w:tcW w:w="3574" w:type="dxa"/>
            <w:tcBorders>
              <w:tl2br w:val="nil"/>
              <w:tr2bl w:val="nil"/>
            </w:tcBorders>
          </w:tcPr>
          <w:p>
            <w:pPr>
              <w:shd w:val="clear"/>
              <w:rPr>
                <w:rFonts w:ascii="宋体" w:hAnsi="宋体" w:cs="宋体"/>
                <w:kern w:val="0"/>
                <w:szCs w:val="21"/>
                <w:highlight w:val="none"/>
              </w:rPr>
            </w:pPr>
            <w:r>
              <w:rPr>
                <w:rFonts w:hint="eastAsia" w:ascii="宋体" w:hAnsi="宋体" w:cs="宋体"/>
                <w:kern w:val="0"/>
                <w:szCs w:val="21"/>
                <w:highlight w:val="none"/>
              </w:rPr>
              <w:t>商铺4、商铺5、商铺6、商铺7、商铺8、商铺9、商铺10、六座、七座、十三座、十七座、十八座、二十一座</w:t>
            </w:r>
          </w:p>
        </w:tc>
        <w:tc>
          <w:tcPr>
            <w:tcW w:w="113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6580.26</w:t>
            </w:r>
          </w:p>
        </w:tc>
        <w:tc>
          <w:tcPr>
            <w:tcW w:w="2410"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812"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综合办公物业</w:t>
            </w:r>
          </w:p>
        </w:tc>
        <w:tc>
          <w:tcPr>
            <w:tcW w:w="3574" w:type="dxa"/>
            <w:tcBorders>
              <w:tl2br w:val="nil"/>
              <w:tr2bl w:val="nil"/>
            </w:tcBorders>
          </w:tcPr>
          <w:p>
            <w:pPr>
              <w:shd w:val="clear"/>
              <w:rPr>
                <w:rFonts w:ascii="宋体" w:hAnsi="宋体" w:cs="宋体"/>
                <w:kern w:val="0"/>
                <w:szCs w:val="21"/>
                <w:highlight w:val="none"/>
              </w:rPr>
            </w:pPr>
            <w:r>
              <w:rPr>
                <w:rFonts w:hint="eastAsia" w:ascii="宋体" w:hAnsi="宋体" w:cs="宋体"/>
                <w:kern w:val="0"/>
                <w:szCs w:val="21"/>
                <w:highlight w:val="none"/>
              </w:rPr>
              <w:t>一座（二层以上）、三座（二层以上）、四座（一层北侧、二层）、五座、八座（二、三层）、十四座、十五座、十六座、二十座</w:t>
            </w:r>
          </w:p>
        </w:tc>
        <w:tc>
          <w:tcPr>
            <w:tcW w:w="113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19468.78</w:t>
            </w:r>
          </w:p>
        </w:tc>
        <w:tc>
          <w:tcPr>
            <w:tcW w:w="2410"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812"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商业配套物业</w:t>
            </w:r>
          </w:p>
        </w:tc>
        <w:tc>
          <w:tcPr>
            <w:tcW w:w="3574" w:type="dxa"/>
            <w:tcBorders>
              <w:tl2br w:val="nil"/>
              <w:tr2bl w:val="nil"/>
            </w:tcBorders>
            <w:vAlign w:val="center"/>
          </w:tcPr>
          <w:p>
            <w:pPr>
              <w:shd w:val="clear"/>
              <w:jc w:val="left"/>
              <w:rPr>
                <w:rFonts w:ascii="宋体" w:hAnsi="宋体" w:cs="宋体"/>
                <w:kern w:val="0"/>
                <w:szCs w:val="21"/>
                <w:highlight w:val="none"/>
              </w:rPr>
            </w:pPr>
            <w:r>
              <w:rPr>
                <w:rFonts w:hint="eastAsia" w:ascii="宋体" w:hAnsi="宋体" w:cs="宋体"/>
                <w:kern w:val="0"/>
                <w:szCs w:val="21"/>
                <w:highlight w:val="none"/>
              </w:rPr>
              <w:t>商铺1、商铺2、一座（首层）二座（首层）、三座（首层）、九座、十座、十一座、十二座、十九座</w:t>
            </w:r>
          </w:p>
        </w:tc>
        <w:tc>
          <w:tcPr>
            <w:tcW w:w="113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8259.89</w:t>
            </w:r>
          </w:p>
        </w:tc>
        <w:tc>
          <w:tcPr>
            <w:tcW w:w="2410"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812"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公共配套物业</w:t>
            </w:r>
          </w:p>
        </w:tc>
        <w:tc>
          <w:tcPr>
            <w:tcW w:w="357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八座首层、四座首层路演厅</w:t>
            </w:r>
          </w:p>
        </w:tc>
        <w:tc>
          <w:tcPr>
            <w:tcW w:w="1134" w:type="dxa"/>
            <w:tcBorders>
              <w:tl2br w:val="nil"/>
              <w:tr2bl w:val="nil"/>
            </w:tcBorders>
            <w:vAlign w:val="center"/>
          </w:tcPr>
          <w:p>
            <w:pPr>
              <w:widowControl/>
              <w:shd w:val="clear"/>
              <w:jc w:val="center"/>
              <w:rPr>
                <w:rFonts w:ascii="宋体" w:hAnsi="宋体" w:cs="宋体"/>
                <w:kern w:val="0"/>
                <w:szCs w:val="21"/>
                <w:highlight w:val="none"/>
              </w:rPr>
            </w:pPr>
            <w:r>
              <w:rPr>
                <w:rFonts w:hint="eastAsia" w:ascii="宋体" w:hAnsi="宋体" w:cs="宋体"/>
                <w:kern w:val="0"/>
                <w:szCs w:val="21"/>
                <w:highlight w:val="none"/>
              </w:rPr>
              <w:t>6816.73</w:t>
            </w:r>
          </w:p>
        </w:tc>
        <w:tc>
          <w:tcPr>
            <w:tcW w:w="2410"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812"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功能配套用房</w:t>
            </w:r>
          </w:p>
        </w:tc>
        <w:tc>
          <w:tcPr>
            <w:tcW w:w="357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变电所、水房、</w:t>
            </w:r>
          </w:p>
          <w:p>
            <w:pPr>
              <w:shd w:val="clear"/>
              <w:jc w:val="center"/>
              <w:rPr>
                <w:rFonts w:ascii="宋体" w:hAnsi="宋体" w:cs="宋体"/>
                <w:kern w:val="0"/>
                <w:szCs w:val="21"/>
                <w:highlight w:val="none"/>
              </w:rPr>
            </w:pPr>
            <w:r>
              <w:rPr>
                <w:rFonts w:hint="eastAsia" w:ascii="宋体" w:hAnsi="宋体" w:cs="宋体"/>
                <w:kern w:val="0"/>
                <w:szCs w:val="21"/>
                <w:highlight w:val="none"/>
              </w:rPr>
              <w:t>消防水池（2个）等</w:t>
            </w:r>
          </w:p>
        </w:tc>
        <w:tc>
          <w:tcPr>
            <w:tcW w:w="113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1855.66</w:t>
            </w:r>
          </w:p>
        </w:tc>
        <w:tc>
          <w:tcPr>
            <w:tcW w:w="2410"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812"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招标人</w:t>
            </w:r>
          </w:p>
          <w:p>
            <w:pPr>
              <w:shd w:val="clear"/>
              <w:jc w:val="center"/>
              <w:rPr>
                <w:rFonts w:ascii="宋体" w:hAnsi="宋体" w:cs="宋体"/>
                <w:kern w:val="0"/>
                <w:szCs w:val="21"/>
                <w:highlight w:val="none"/>
              </w:rPr>
            </w:pPr>
            <w:r>
              <w:rPr>
                <w:rFonts w:hint="eastAsia" w:ascii="宋体" w:hAnsi="宋体" w:cs="宋体"/>
                <w:kern w:val="0"/>
                <w:szCs w:val="21"/>
                <w:highlight w:val="none"/>
              </w:rPr>
              <w:t>办公用房</w:t>
            </w:r>
          </w:p>
        </w:tc>
        <w:tc>
          <w:tcPr>
            <w:tcW w:w="357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三座四层</w:t>
            </w:r>
          </w:p>
        </w:tc>
        <w:tc>
          <w:tcPr>
            <w:tcW w:w="113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542.31</w:t>
            </w:r>
          </w:p>
        </w:tc>
        <w:tc>
          <w:tcPr>
            <w:tcW w:w="2410"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812"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其它物业</w:t>
            </w:r>
          </w:p>
        </w:tc>
        <w:tc>
          <w:tcPr>
            <w:tcW w:w="357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人才公寓（二座二层以上）、二十二座</w:t>
            </w:r>
          </w:p>
        </w:tc>
        <w:tc>
          <w:tcPr>
            <w:tcW w:w="113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15207.33</w:t>
            </w:r>
          </w:p>
        </w:tc>
        <w:tc>
          <w:tcPr>
            <w:tcW w:w="2410" w:type="dxa"/>
            <w:tcBorders>
              <w:tl2br w:val="nil"/>
              <w:tr2bl w:val="nil"/>
            </w:tcBorders>
          </w:tcPr>
          <w:p>
            <w:pPr>
              <w:shd w:val="clear"/>
              <w:rPr>
                <w:rFonts w:ascii="宋体" w:hAnsi="宋体" w:cs="宋体"/>
                <w:kern w:val="0"/>
                <w:szCs w:val="21"/>
                <w:highlight w:val="none"/>
              </w:rPr>
            </w:pPr>
            <w:r>
              <w:rPr>
                <w:rFonts w:hint="eastAsia" w:ascii="宋体" w:hAnsi="宋体" w:cs="宋体"/>
                <w:kern w:val="0"/>
                <w:szCs w:val="21"/>
                <w:highlight w:val="none"/>
              </w:rPr>
              <w:t>物业内部物管由承租方自行管理，无需中标人负责，中标人负责建筑外围公共区域及建筑外立面清洁。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6" w:type="dxa"/>
            <w:gridSpan w:val="2"/>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合    计</w:t>
            </w:r>
          </w:p>
        </w:tc>
        <w:tc>
          <w:tcPr>
            <w:tcW w:w="113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58730.96</w:t>
            </w:r>
          </w:p>
        </w:tc>
        <w:tc>
          <w:tcPr>
            <w:tcW w:w="2410"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w:t>
            </w:r>
          </w:p>
        </w:tc>
      </w:tr>
    </w:tbl>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园区绿化面积：19210.85平方米（不含二期建设项目用地）；</w:t>
      </w:r>
    </w:p>
    <w:p>
      <w:pPr>
        <w:shd w:val="clear"/>
        <w:adjustRightInd w:val="0"/>
        <w:snapToGrid w:val="0"/>
        <w:spacing w:line="360" w:lineRule="auto"/>
        <w:ind w:left="359" w:leftChars="171" w:firstLine="472" w:firstLineChars="225"/>
        <w:rPr>
          <w:rFonts w:ascii="宋体" w:hAnsi="宋体" w:cs="宋体"/>
          <w:szCs w:val="21"/>
          <w:highlight w:val="none"/>
        </w:rPr>
      </w:pPr>
      <w:r>
        <w:rPr>
          <w:rFonts w:hint="eastAsia" w:ascii="宋体" w:hAnsi="宋体" w:cs="宋体"/>
          <w:kern w:val="0"/>
          <w:szCs w:val="21"/>
          <w:highlight w:val="none"/>
        </w:rPr>
        <w:t>园区道路、广场铺装面积：20254平方米；</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园区水景面积：2253平方米；</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园区主要出入口：西门、南门；</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电梯台数：8台（两层、六层、八层各1台， 五层2台，三层3台）；</w:t>
      </w:r>
    </w:p>
    <w:p>
      <w:pPr>
        <w:numPr>
          <w:ilvl w:val="0"/>
          <w:numId w:val="14"/>
        </w:numPr>
        <w:shd w:val="clear"/>
        <w:adjustRightInd w:val="0"/>
        <w:snapToGrid w:val="0"/>
        <w:spacing w:line="360" w:lineRule="auto"/>
        <w:ind w:left="425" w:hanging="5"/>
        <w:rPr>
          <w:rFonts w:ascii="宋体" w:hAnsi="宋体" w:cs="宋体"/>
          <w:kern w:val="0"/>
          <w:szCs w:val="21"/>
          <w:highlight w:val="none"/>
        </w:rPr>
      </w:pPr>
      <w:r>
        <w:rPr>
          <w:rFonts w:hint="eastAsia" w:ascii="宋体" w:hAnsi="宋体" w:cs="宋体"/>
          <w:kern w:val="0"/>
          <w:szCs w:val="21"/>
          <w:highlight w:val="none"/>
        </w:rPr>
        <w:t>备注：①目前二期建设项目用地于2022年动工建设，计划将于2026年6月完工，在实施二期建设项目期间，中标人需负责建设期间场地</w:t>
      </w:r>
      <w:r>
        <w:rPr>
          <w:rFonts w:hint="eastAsia" w:hAnsi="宋体" w:cs="宋体"/>
          <w:kern w:val="0"/>
          <w:szCs w:val="21"/>
          <w:highlight w:val="none"/>
        </w:rPr>
        <w:t>外围</w:t>
      </w:r>
      <w:r>
        <w:rPr>
          <w:rFonts w:hint="eastAsia" w:ascii="宋体" w:hAnsi="宋体" w:cs="宋体"/>
          <w:kern w:val="0"/>
          <w:szCs w:val="21"/>
          <w:highlight w:val="none"/>
        </w:rPr>
        <w:t>的物业管理工作；②园区三圣河道水质由政府相关部门管理，水景面积不含三圣河，但中标人需负责配合三圣河的落叶、水上垃圾清理。</w:t>
      </w:r>
      <w:r>
        <w:rPr>
          <w:rFonts w:hint="eastAsia"/>
          <w:szCs w:val="21"/>
          <w:highlight w:val="none"/>
        </w:rPr>
        <w:t>投标时须提供自行实地考察“项目概况及范围”的现场照片（照片上须含考察时间）并附有区域范围等介绍作为对“</w:t>
      </w:r>
      <w:r>
        <w:rPr>
          <w:rFonts w:hint="eastAsia" w:ascii="宋体" w:hAnsi="宋体" w:cs="宋体"/>
          <w:kern w:val="0"/>
          <w:szCs w:val="21"/>
          <w:highlight w:val="none"/>
        </w:rPr>
        <w:t>对项目的熟悉程度</w:t>
      </w:r>
      <w:r>
        <w:rPr>
          <w:rFonts w:hint="eastAsia"/>
          <w:szCs w:val="21"/>
          <w:highlight w:val="none"/>
        </w:rPr>
        <w:t>”证明材料。</w:t>
      </w:r>
    </w:p>
    <w:p>
      <w:pPr>
        <w:numPr>
          <w:ilvl w:val="0"/>
          <w:numId w:val="14"/>
        </w:numPr>
        <w:shd w:val="clear"/>
        <w:adjustRightInd w:val="0"/>
        <w:snapToGrid w:val="0"/>
        <w:spacing w:line="360" w:lineRule="auto"/>
        <w:ind w:left="425" w:hanging="5"/>
        <w:rPr>
          <w:rFonts w:ascii="宋体" w:hAnsi="宋体" w:cs="宋体"/>
          <w:kern w:val="0"/>
          <w:szCs w:val="21"/>
          <w:highlight w:val="none"/>
        </w:rPr>
      </w:pPr>
      <w:r>
        <w:rPr>
          <w:rFonts w:hint="eastAsia" w:ascii="宋体" w:hAnsi="宋体" w:cs="宋体"/>
          <w:kern w:val="0"/>
          <w:szCs w:val="21"/>
          <w:highlight w:val="none"/>
        </w:rPr>
        <w:t>项目内容概况</w:t>
      </w:r>
    </w:p>
    <w:p>
      <w:pPr>
        <w:shd w:val="clear"/>
        <w:adjustRightInd w:val="0"/>
        <w:snapToGrid w:val="0"/>
        <w:spacing w:line="360" w:lineRule="auto"/>
        <w:ind w:left="19" w:leftChars="9" w:firstLine="399" w:firstLineChars="190"/>
        <w:rPr>
          <w:rFonts w:ascii="宋体" w:hAnsi="宋体" w:cs="宋体"/>
          <w:szCs w:val="21"/>
          <w:highlight w:val="none"/>
        </w:rPr>
      </w:pPr>
      <w:r>
        <w:rPr>
          <w:rFonts w:hint="eastAsia" w:ascii="宋体" w:hAnsi="宋体" w:cs="宋体"/>
          <w:kern w:val="0"/>
          <w:szCs w:val="21"/>
          <w:highlight w:val="none"/>
        </w:rPr>
        <w:t>在核心区范围内提供物业管理相关服务，包括保安、消防、清洁、绿化、工程维修（房屋及附属物）、设备设施维护及管理（</w:t>
      </w:r>
      <w:r>
        <w:rPr>
          <w:rFonts w:hint="eastAsia" w:hAnsi="宋体" w:cs="宋体"/>
          <w:kern w:val="0"/>
          <w:szCs w:val="21"/>
          <w:highlight w:val="none"/>
        </w:rPr>
        <w:t>公共照明、智能化系统、</w:t>
      </w:r>
      <w:r>
        <w:rPr>
          <w:rFonts w:hint="eastAsia" w:ascii="宋体" w:hAnsi="宋体" w:cs="宋体"/>
          <w:kern w:val="0"/>
          <w:szCs w:val="21"/>
          <w:highlight w:val="none"/>
        </w:rPr>
        <w:t>消防系统、电梯、电房、空调、监控系统等)、消杀四害、园区服务等。</w:t>
      </w:r>
    </w:p>
    <w:p>
      <w:pPr>
        <w:numPr>
          <w:ilvl w:val="0"/>
          <w:numId w:val="13"/>
        </w:numPr>
        <w:shd w:val="clear"/>
        <w:adjustRightInd w:val="0"/>
        <w:snapToGrid w:val="0"/>
        <w:spacing w:line="360" w:lineRule="auto"/>
        <w:ind w:left="1109" w:hanging="689"/>
        <w:rPr>
          <w:rFonts w:ascii="宋体" w:hAnsi="宋体" w:cs="宋体"/>
          <w:kern w:val="0"/>
          <w:szCs w:val="21"/>
          <w:highlight w:val="none"/>
        </w:rPr>
      </w:pPr>
      <w:r>
        <w:rPr>
          <w:rFonts w:hint="eastAsia" w:ascii="宋体" w:hAnsi="宋体" w:cs="宋体"/>
          <w:b/>
          <w:kern w:val="0"/>
          <w:szCs w:val="21"/>
          <w:highlight w:val="none"/>
        </w:rPr>
        <w:t>服务要求</w:t>
      </w:r>
    </w:p>
    <w:p>
      <w:pPr>
        <w:shd w:val="clear"/>
        <w:adjustRightInd w:val="0"/>
        <w:snapToGrid w:val="0"/>
        <w:spacing w:line="360" w:lineRule="auto"/>
        <w:ind w:left="19" w:leftChars="9" w:firstLine="399" w:firstLineChars="190"/>
        <w:rPr>
          <w:rFonts w:ascii="宋体" w:hAnsi="宋体" w:cs="宋体"/>
          <w:kern w:val="0"/>
          <w:szCs w:val="21"/>
          <w:highlight w:val="none"/>
        </w:rPr>
      </w:pPr>
      <w:r>
        <w:rPr>
          <w:rFonts w:hint="eastAsia" w:ascii="宋体" w:hAnsi="宋体" w:cs="宋体"/>
          <w:kern w:val="0"/>
          <w:szCs w:val="21"/>
          <w:highlight w:val="none"/>
        </w:rPr>
        <w:t>中标人提供的物业管理服务应达到约定的质量标准，物业服务标准内无约定的，则按《物业管理条例》等国家、地方政府的有关规定、行业标准执行。</w:t>
      </w:r>
    </w:p>
    <w:p>
      <w:pPr>
        <w:numPr>
          <w:ilvl w:val="0"/>
          <w:numId w:val="15"/>
        </w:numPr>
        <w:shd w:val="clear"/>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制度管理</w:t>
      </w:r>
    </w:p>
    <w:p>
      <w:pPr>
        <w:numPr>
          <w:ilvl w:val="0"/>
          <w:numId w:val="1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有完善的物业管理方案，质量管理、财务管理、档案管理等制度健全。管理服务中的相关作业记录完整，可追溯；</w:t>
      </w:r>
    </w:p>
    <w:p>
      <w:pPr>
        <w:numPr>
          <w:ilvl w:val="0"/>
          <w:numId w:val="1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制订、保管和更新物业管理规章制度和实施细则；</w:t>
      </w:r>
    </w:p>
    <w:p>
      <w:pPr>
        <w:numPr>
          <w:ilvl w:val="0"/>
          <w:numId w:val="1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制订大要事计划、物业维修及养护计划、设施/设备年度检修计划、月季年度工作计划并记录实施情况；</w:t>
      </w:r>
    </w:p>
    <w:p>
      <w:pPr>
        <w:numPr>
          <w:ilvl w:val="0"/>
          <w:numId w:val="1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制定和实施保安、保洁工作的规章制度、工作程序和工作标准；</w:t>
      </w:r>
    </w:p>
    <w:p>
      <w:pPr>
        <w:numPr>
          <w:ilvl w:val="0"/>
          <w:numId w:val="1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制订安全生产管理规章制度和各种应急预案；</w:t>
      </w:r>
    </w:p>
    <w:p>
      <w:pPr>
        <w:numPr>
          <w:ilvl w:val="0"/>
          <w:numId w:val="1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制订值班巡查规章制度、安排巡逻路线、排班计划，节假日值班计划；</w:t>
      </w:r>
    </w:p>
    <w:p>
      <w:pPr>
        <w:numPr>
          <w:ilvl w:val="0"/>
          <w:numId w:val="1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制订、整理及保管其它必要的档案和资料；</w:t>
      </w:r>
    </w:p>
    <w:p>
      <w:pPr>
        <w:numPr>
          <w:ilvl w:val="0"/>
          <w:numId w:val="1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每月至少报送1次月度报告，内容应详尽，有相应的摄像照片记录。</w:t>
      </w:r>
    </w:p>
    <w:p>
      <w:pPr>
        <w:numPr>
          <w:ilvl w:val="0"/>
          <w:numId w:val="15"/>
        </w:numPr>
        <w:shd w:val="clear"/>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秩序/安保管理</w:t>
      </w:r>
    </w:p>
    <w:p>
      <w:pPr>
        <w:numPr>
          <w:ilvl w:val="0"/>
          <w:numId w:val="17"/>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与当地公安机关建立联防机制，协助进行治安管理工作；</w:t>
      </w:r>
    </w:p>
    <w:p>
      <w:pPr>
        <w:numPr>
          <w:ilvl w:val="0"/>
          <w:numId w:val="17"/>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全天24小时值班、巡查制度（固定路线和机动路线），设置形象岗位和机动岗位，要求3分钟内能集结5人以上应对突发情况；</w:t>
      </w:r>
    </w:p>
    <w:p>
      <w:pPr>
        <w:numPr>
          <w:ilvl w:val="0"/>
          <w:numId w:val="17"/>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全天24小时公共秩序和交通秩序的管理；车辆、财物和人员的出入、行驶及停泊管理（摩托车、单车按招标人要求统一停放在指定区域）；</w:t>
      </w:r>
    </w:p>
    <w:p>
      <w:pPr>
        <w:numPr>
          <w:ilvl w:val="0"/>
          <w:numId w:val="17"/>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协助有关部门进行消防、防止群体冲突、应对紧急事件和灾难应变，并定期进行上述演习,</w:t>
      </w:r>
      <w:r>
        <w:rPr>
          <w:rFonts w:hint="eastAsia"/>
          <w:highlight w:val="none"/>
        </w:rPr>
        <w:t>投标时提供应对突发情况经验，作为对</w:t>
      </w:r>
      <w:r>
        <w:rPr>
          <w:rFonts w:hint="eastAsia"/>
          <w:szCs w:val="21"/>
          <w:highlight w:val="none"/>
        </w:rPr>
        <w:t>“</w:t>
      </w:r>
      <w:r>
        <w:rPr>
          <w:rFonts w:hint="eastAsia" w:ascii="宋体" w:hAnsi="宋体" w:cs="宋体"/>
          <w:kern w:val="0"/>
          <w:szCs w:val="21"/>
          <w:highlight w:val="none"/>
        </w:rPr>
        <w:t>安保服务方案</w:t>
      </w:r>
      <w:r>
        <w:rPr>
          <w:rFonts w:hint="eastAsia"/>
          <w:szCs w:val="21"/>
          <w:highlight w:val="none"/>
        </w:rPr>
        <w:t>”证明材料</w:t>
      </w:r>
      <w:r>
        <w:rPr>
          <w:rFonts w:hint="eastAsia" w:ascii="宋体" w:hAnsi="宋体" w:cs="宋体"/>
          <w:kern w:val="0"/>
          <w:szCs w:val="21"/>
          <w:highlight w:val="none"/>
        </w:rPr>
        <w:t>；</w:t>
      </w:r>
    </w:p>
    <w:p>
      <w:pPr>
        <w:numPr>
          <w:ilvl w:val="0"/>
          <w:numId w:val="17"/>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与园区租户、行政部门形成联络机制，建立联防机制；</w:t>
      </w:r>
    </w:p>
    <w:p>
      <w:pPr>
        <w:numPr>
          <w:ilvl w:val="0"/>
          <w:numId w:val="17"/>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实行军事化培训和管理，安保岗位要求</w:t>
      </w:r>
      <w:r>
        <w:rPr>
          <w:rFonts w:hint="eastAsia" w:ascii="宋体" w:hAnsi="宋体" w:cs="宋体"/>
          <w:kern w:val="0"/>
          <w:szCs w:val="21"/>
          <w:highlight w:val="none"/>
          <w:lang w:val="en-US" w:eastAsia="zh-CN"/>
        </w:rPr>
        <w:t>40</w:t>
      </w:r>
      <w:r>
        <w:rPr>
          <w:rFonts w:hint="eastAsia" w:ascii="宋体" w:hAnsi="宋体" w:cs="宋体"/>
          <w:kern w:val="0"/>
          <w:szCs w:val="21"/>
          <w:highlight w:val="none"/>
        </w:rPr>
        <w:t>周岁以下；</w:t>
      </w:r>
    </w:p>
    <w:p>
      <w:pPr>
        <w:numPr>
          <w:ilvl w:val="0"/>
          <w:numId w:val="17"/>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按要求做好门岗、巡逻、监控、交通管理工作，具体如下：</w:t>
      </w:r>
    </w:p>
    <w:tbl>
      <w:tblPr>
        <w:tblStyle w:val="22"/>
        <w:tblW w:w="88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0"/>
        <w:gridCol w:w="84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rPr>
                <w:rFonts w:ascii="宋体" w:hAnsi="宋体" w:cs="宋体"/>
                <w:kern w:val="0"/>
                <w:szCs w:val="21"/>
                <w:highlight w:val="none"/>
              </w:rPr>
            </w:pPr>
            <w:r>
              <w:rPr>
                <w:rFonts w:hint="eastAsia" w:ascii="宋体" w:hAnsi="宋体" w:cs="宋体"/>
                <w:b/>
                <w:kern w:val="0"/>
                <w:szCs w:val="21"/>
                <w:highlight w:val="none"/>
              </w:rPr>
              <w:t>A</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b/>
                <w:kern w:val="0"/>
                <w:szCs w:val="21"/>
                <w:highlight w:val="none"/>
              </w:rPr>
            </w:pPr>
            <w:r>
              <w:rPr>
                <w:rFonts w:hint="eastAsia" w:ascii="宋体" w:hAnsi="宋体" w:cs="宋体"/>
                <w:b/>
                <w:kern w:val="0"/>
                <w:szCs w:val="21"/>
                <w:highlight w:val="none"/>
              </w:rPr>
              <w:t>门岗管理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1</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kern w:val="0"/>
                <w:szCs w:val="21"/>
                <w:highlight w:val="none"/>
              </w:rPr>
            </w:pPr>
            <w:r>
              <w:rPr>
                <w:rFonts w:hint="eastAsia" w:ascii="宋体" w:hAnsi="宋体" w:cs="宋体"/>
                <w:kern w:val="0"/>
                <w:szCs w:val="21"/>
                <w:highlight w:val="none"/>
              </w:rPr>
              <w:t>主出入口设置形象岗，要求</w:t>
            </w:r>
            <w:r>
              <w:rPr>
                <w:rFonts w:hint="eastAsia" w:ascii="宋体" w:hAnsi="宋体" w:cs="宋体"/>
                <w:kern w:val="0"/>
                <w:szCs w:val="21"/>
                <w:highlight w:val="none"/>
                <w:lang w:val="en-US" w:eastAsia="zh-CN"/>
              </w:rPr>
              <w:t>40</w:t>
            </w:r>
            <w:r>
              <w:rPr>
                <w:rFonts w:hint="eastAsia" w:ascii="宋体" w:hAnsi="宋体" w:cs="宋体"/>
                <w:kern w:val="0"/>
                <w:szCs w:val="21"/>
                <w:highlight w:val="none"/>
              </w:rPr>
              <w:t>岁以下，形象好、身体素质好。门岗24 小时值班，值班人员举止文明、态度和蔼，用语规范、礼仪规范，按时到岗，坚守岗位不脱岗。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2</w:t>
            </w:r>
          </w:p>
        </w:tc>
        <w:tc>
          <w:tcPr>
            <w:tcW w:w="8459" w:type="dxa"/>
            <w:tcBorders>
              <w:tl2br w:val="nil"/>
              <w:tr2bl w:val="nil"/>
            </w:tcBorders>
            <w:vAlign w:val="center"/>
          </w:tcPr>
          <w:p>
            <w:pPr>
              <w:shd w:val="clear"/>
              <w:spacing w:line="276" w:lineRule="auto"/>
              <w:jc w:val="left"/>
              <w:rPr>
                <w:rFonts w:ascii="宋体" w:hAnsi="宋体" w:cs="宋体"/>
                <w:kern w:val="0"/>
                <w:szCs w:val="21"/>
                <w:highlight w:val="none"/>
              </w:rPr>
            </w:pPr>
            <w:r>
              <w:rPr>
                <w:rFonts w:hint="eastAsia" w:ascii="宋体" w:hAnsi="宋体" w:cs="宋体"/>
                <w:kern w:val="0"/>
                <w:szCs w:val="21"/>
                <w:highlight w:val="none"/>
              </w:rPr>
              <w:t>保持个人仪表整洁、门岗周围环境清洁，注意观察人员进出情况，发现疑点应当及时询问，劝阻小商小贩不要在物业管理区域内乱设摊点。对进出物业管理区域的各类车辆进行有效疏导，保持出入口畅通。无人值守的人行通道非开放时间上锁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3</w:t>
            </w:r>
          </w:p>
        </w:tc>
        <w:tc>
          <w:tcPr>
            <w:tcW w:w="8459" w:type="dxa"/>
            <w:tcBorders>
              <w:tl2br w:val="nil"/>
              <w:tr2bl w:val="nil"/>
            </w:tcBorders>
            <w:vAlign w:val="center"/>
          </w:tcPr>
          <w:p>
            <w:pPr>
              <w:shd w:val="clear"/>
              <w:spacing w:line="276" w:lineRule="auto"/>
              <w:rPr>
                <w:rFonts w:ascii="宋体" w:hAnsi="宋体" w:cs="宋体"/>
                <w:kern w:val="0"/>
                <w:szCs w:val="21"/>
                <w:highlight w:val="none"/>
              </w:rPr>
            </w:pPr>
            <w:r>
              <w:rPr>
                <w:rFonts w:hint="eastAsia" w:ascii="宋体" w:hAnsi="宋体" w:cs="宋体"/>
                <w:kern w:val="0"/>
                <w:szCs w:val="21"/>
                <w:highlight w:val="none"/>
              </w:rPr>
              <w:t>根据园区管理要求，对指定区域临时进出的人员实行登记及去向公司人员确认，做到区内无形迹可疑、无明确探访对象的闲杂人员、广告推销人员进入或逗留。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4</w:t>
            </w:r>
          </w:p>
        </w:tc>
        <w:tc>
          <w:tcPr>
            <w:tcW w:w="8459" w:type="dxa"/>
            <w:tcBorders>
              <w:tl2br w:val="nil"/>
              <w:tr2bl w:val="nil"/>
            </w:tcBorders>
            <w:vAlign w:val="center"/>
          </w:tcPr>
          <w:p>
            <w:pPr>
              <w:shd w:val="clear"/>
              <w:spacing w:line="276" w:lineRule="auto"/>
              <w:rPr>
                <w:rFonts w:ascii="宋体" w:hAnsi="宋体" w:cs="宋体"/>
                <w:kern w:val="0"/>
                <w:szCs w:val="21"/>
                <w:highlight w:val="none"/>
              </w:rPr>
            </w:pPr>
            <w:r>
              <w:rPr>
                <w:rFonts w:hint="eastAsia" w:ascii="宋体" w:hAnsi="宋体" w:cs="宋体"/>
                <w:kern w:val="0"/>
                <w:szCs w:val="21"/>
                <w:highlight w:val="none"/>
              </w:rPr>
              <w:t>对物品进出实施分类管理，大件及电器设备物品进出应进行审验，拒绝危险物品进入。大件及电器设备物品出园应事前检查，并报招标人审批同意。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b/>
                <w:kern w:val="0"/>
                <w:szCs w:val="21"/>
                <w:highlight w:val="none"/>
              </w:rPr>
              <w:t>B</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b/>
                <w:kern w:val="0"/>
                <w:szCs w:val="21"/>
                <w:highlight w:val="none"/>
              </w:rPr>
            </w:pPr>
            <w:r>
              <w:rPr>
                <w:rFonts w:hint="eastAsia" w:ascii="宋体" w:hAnsi="宋体" w:cs="宋体"/>
                <w:b/>
                <w:kern w:val="0"/>
                <w:szCs w:val="21"/>
                <w:highlight w:val="none"/>
              </w:rPr>
              <w:t>巡逻管理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1</w:t>
            </w:r>
          </w:p>
        </w:tc>
        <w:tc>
          <w:tcPr>
            <w:tcW w:w="8459" w:type="dxa"/>
            <w:tcBorders>
              <w:tl2br w:val="nil"/>
              <w:tr2bl w:val="nil"/>
            </w:tcBorders>
            <w:vAlign w:val="center"/>
          </w:tcPr>
          <w:p>
            <w:pPr>
              <w:shd w:val="clear"/>
              <w:spacing w:line="276" w:lineRule="auto"/>
              <w:rPr>
                <w:rFonts w:ascii="宋体" w:hAnsi="宋体" w:cs="宋体"/>
                <w:kern w:val="0"/>
                <w:szCs w:val="21"/>
                <w:highlight w:val="none"/>
              </w:rPr>
            </w:pPr>
            <w:r>
              <w:rPr>
                <w:rFonts w:hint="eastAsia" w:ascii="宋体" w:hAnsi="宋体" w:cs="宋体"/>
                <w:kern w:val="0"/>
                <w:szCs w:val="21"/>
                <w:highlight w:val="none"/>
              </w:rPr>
              <w:t>配备电子轨迹巡更系统，并负责相关设备、软件购置及维护的费用投入；科学、合理安排巡逻路线，重点、要害部分每2小时至少巡逻1次，发现违法、违章行为应及时制止。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2</w:t>
            </w:r>
          </w:p>
        </w:tc>
        <w:tc>
          <w:tcPr>
            <w:tcW w:w="8459" w:type="dxa"/>
            <w:tcBorders>
              <w:tl2br w:val="nil"/>
              <w:tr2bl w:val="nil"/>
            </w:tcBorders>
            <w:vAlign w:val="center"/>
          </w:tcPr>
          <w:p>
            <w:pPr>
              <w:shd w:val="clear"/>
              <w:spacing w:line="276" w:lineRule="auto"/>
              <w:rPr>
                <w:rFonts w:ascii="宋体" w:hAnsi="宋体" w:cs="宋体"/>
                <w:kern w:val="0"/>
                <w:szCs w:val="21"/>
                <w:highlight w:val="none"/>
              </w:rPr>
            </w:pPr>
            <w:r>
              <w:rPr>
                <w:rFonts w:hint="eastAsia" w:ascii="宋体" w:hAnsi="宋体" w:cs="宋体"/>
                <w:kern w:val="0"/>
                <w:szCs w:val="21"/>
                <w:highlight w:val="none"/>
              </w:rPr>
              <w:t>按规定时间、路线巡回检查，多看、多听、多闻、多问，排除各种不安全因素；发现疑点应追查原因，同时通知上级及招标人。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3</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kern w:val="0"/>
                <w:szCs w:val="21"/>
                <w:highlight w:val="none"/>
              </w:rPr>
            </w:pPr>
            <w:r>
              <w:rPr>
                <w:rFonts w:hint="eastAsia" w:ascii="宋体" w:hAnsi="宋体" w:cs="宋体"/>
                <w:kern w:val="0"/>
                <w:szCs w:val="21"/>
                <w:highlight w:val="none"/>
              </w:rPr>
              <w:t>巡查中发现异常情况，应立即通知上级，并在现场采取必要措施，随时准备启动相应的应急预案，并第一时间通知招标人或政府有关部门。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4</w:t>
            </w:r>
          </w:p>
        </w:tc>
        <w:tc>
          <w:tcPr>
            <w:tcW w:w="8459" w:type="dxa"/>
            <w:tcBorders>
              <w:tl2br w:val="nil"/>
              <w:tr2bl w:val="nil"/>
            </w:tcBorders>
            <w:vAlign w:val="center"/>
          </w:tcPr>
          <w:p>
            <w:pPr>
              <w:shd w:val="clear"/>
              <w:spacing w:line="276" w:lineRule="auto"/>
              <w:rPr>
                <w:rFonts w:ascii="宋体" w:hAnsi="宋体" w:cs="宋体"/>
                <w:kern w:val="0"/>
                <w:szCs w:val="21"/>
                <w:highlight w:val="none"/>
              </w:rPr>
            </w:pPr>
            <w:r>
              <w:rPr>
                <w:rFonts w:hint="eastAsia" w:ascii="宋体" w:hAnsi="宋体" w:cs="宋体"/>
                <w:kern w:val="0"/>
                <w:szCs w:val="21"/>
                <w:highlight w:val="none"/>
              </w:rPr>
              <w:t>收到中央监控室发出指令后，巡逻人员应及时到达，并采取相应措施。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5</w:t>
            </w:r>
          </w:p>
        </w:tc>
        <w:tc>
          <w:tcPr>
            <w:tcW w:w="8459" w:type="dxa"/>
            <w:tcBorders>
              <w:tl2br w:val="nil"/>
              <w:tr2bl w:val="nil"/>
            </w:tcBorders>
            <w:vAlign w:val="center"/>
          </w:tcPr>
          <w:p>
            <w:pPr>
              <w:shd w:val="clear"/>
              <w:spacing w:line="276" w:lineRule="auto"/>
              <w:rPr>
                <w:rFonts w:ascii="宋体" w:hAnsi="宋体" w:cs="宋体"/>
                <w:kern w:val="0"/>
                <w:szCs w:val="21"/>
                <w:highlight w:val="none"/>
              </w:rPr>
            </w:pPr>
            <w:r>
              <w:rPr>
                <w:rFonts w:hint="eastAsia" w:ascii="宋体" w:hAnsi="宋体" w:cs="宋体"/>
                <w:kern w:val="0"/>
                <w:szCs w:val="21"/>
                <w:highlight w:val="none"/>
              </w:rPr>
              <w:t>对物业管理区域内设置的消火栓（箱）、窨井盖、安全警示标志等涉及公共安全的设施进行巡查，发现缺失、损坏或不能正常使用等情况，应及时报告并记录。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b/>
                <w:kern w:val="0"/>
                <w:szCs w:val="21"/>
                <w:highlight w:val="none"/>
              </w:rPr>
            </w:pPr>
            <w:r>
              <w:rPr>
                <w:rFonts w:hint="eastAsia" w:ascii="宋体" w:hAnsi="宋体" w:cs="宋体"/>
                <w:b/>
                <w:kern w:val="0"/>
                <w:szCs w:val="21"/>
                <w:highlight w:val="none"/>
              </w:rPr>
              <w:t>C</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rPr>
                <w:rFonts w:ascii="宋体" w:hAnsi="宋体" w:cs="宋体"/>
                <w:b/>
                <w:kern w:val="0"/>
                <w:szCs w:val="21"/>
                <w:highlight w:val="none"/>
              </w:rPr>
            </w:pPr>
            <w:r>
              <w:rPr>
                <w:rFonts w:hint="eastAsia" w:ascii="宋体" w:hAnsi="宋体" w:cs="宋体"/>
                <w:b/>
                <w:kern w:val="0"/>
                <w:szCs w:val="21"/>
                <w:highlight w:val="none"/>
              </w:rPr>
              <w:t>监控管理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1</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kern w:val="0"/>
                <w:szCs w:val="21"/>
                <w:highlight w:val="none"/>
              </w:rPr>
            </w:pPr>
            <w:r>
              <w:rPr>
                <w:rFonts w:hint="eastAsia" w:ascii="宋体" w:hAnsi="宋体" w:cs="宋体"/>
                <w:kern w:val="0"/>
                <w:szCs w:val="21"/>
                <w:highlight w:val="none"/>
              </w:rPr>
              <w:t>负责配备24小时安防固话，监控中心设施应24小时开通，保证对安全出入口、内部重点区域的安全监控，保持完整的监控记录。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2</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kern w:val="0"/>
                <w:szCs w:val="21"/>
                <w:highlight w:val="none"/>
              </w:rPr>
            </w:pPr>
            <w:r>
              <w:rPr>
                <w:rFonts w:hint="eastAsia" w:ascii="宋体" w:hAnsi="宋体" w:cs="宋体"/>
                <w:kern w:val="0"/>
                <w:szCs w:val="21"/>
                <w:highlight w:val="none"/>
              </w:rPr>
              <w:t>监控中心收到火情、险情及其他异常情况报警信号后，应第一时间确认是否发生火灾并及时报警，并通知相关人员及时直到现场进行处理。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3</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kern w:val="0"/>
                <w:szCs w:val="21"/>
                <w:highlight w:val="none"/>
              </w:rPr>
            </w:pPr>
            <w:r>
              <w:rPr>
                <w:rFonts w:hint="eastAsia" w:ascii="宋体" w:hAnsi="宋体" w:cs="宋体"/>
                <w:kern w:val="0"/>
                <w:szCs w:val="21"/>
                <w:highlight w:val="none"/>
              </w:rPr>
              <w:t>监控的录入资料应至少保持30天，有特殊要求的参照相关规定或行业标准执行。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4</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kern w:val="0"/>
                <w:szCs w:val="21"/>
                <w:highlight w:val="none"/>
              </w:rPr>
            </w:pPr>
            <w:r>
              <w:rPr>
                <w:rFonts w:hint="eastAsia" w:ascii="宋体" w:hAnsi="宋体" w:cs="宋体"/>
                <w:kern w:val="0"/>
                <w:szCs w:val="21"/>
                <w:highlight w:val="none"/>
              </w:rPr>
              <w:t>治安电话畅通，接听及时，记录资料详尽。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5</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kern w:val="0"/>
                <w:szCs w:val="21"/>
                <w:highlight w:val="none"/>
              </w:rPr>
            </w:pPr>
            <w:r>
              <w:rPr>
                <w:rFonts w:hint="eastAsia" w:ascii="宋体" w:hAnsi="宋体" w:cs="宋体"/>
                <w:kern w:val="0"/>
                <w:szCs w:val="21"/>
                <w:highlight w:val="none"/>
              </w:rPr>
              <w:t>闭路监控画面清晰、视角合理，大堂、电梯、人行路口监控画面能够识别进出人员面孔；晚间光线充足或有红外补光。监控画面完好率100%。监控岗对关键镜头进行24小时实时监控，遮蔽镜头3分钟，控制中心监控岗能及时发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6</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kern w:val="0"/>
                <w:szCs w:val="21"/>
                <w:highlight w:val="none"/>
              </w:rPr>
            </w:pPr>
            <w:r>
              <w:rPr>
                <w:rFonts w:hint="eastAsia" w:ascii="宋体" w:hAnsi="宋体" w:cs="宋体"/>
                <w:kern w:val="0"/>
                <w:szCs w:val="21"/>
                <w:highlight w:val="none"/>
              </w:rPr>
              <w:t>制订完善的监控查阅管理制度。对进出监控中心进行登记。查阅监控录像，必须经招标人审批同意；非招标人审批同意或执法机关办案需要，不能提供录像拷贝。</w:t>
            </w:r>
          </w:p>
        </w:tc>
      </w:tr>
    </w:tbl>
    <w:p>
      <w:pPr>
        <w:numPr>
          <w:ilvl w:val="0"/>
          <w:numId w:val="15"/>
        </w:numPr>
        <w:shd w:val="clear"/>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消防管理</w:t>
      </w:r>
    </w:p>
    <w:p>
      <w:pPr>
        <w:numPr>
          <w:ilvl w:val="0"/>
          <w:numId w:val="18"/>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建立健全消防管理制度，建立消防责任制；</w:t>
      </w:r>
    </w:p>
    <w:p>
      <w:pPr>
        <w:numPr>
          <w:ilvl w:val="0"/>
          <w:numId w:val="18"/>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全天24小时消防值班，24小时消防主机监管；工作人员按照《中华人民共和国消防法》及相关法律法规持证上岗，每班不少于2人；</w:t>
      </w:r>
    </w:p>
    <w:p>
      <w:pPr>
        <w:numPr>
          <w:ilvl w:val="0"/>
          <w:numId w:val="18"/>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建立义务消防队伍，出现消防事故应有人到达现场，进行必要的扑救；</w:t>
      </w:r>
    </w:p>
    <w:p>
      <w:pPr>
        <w:numPr>
          <w:ilvl w:val="0"/>
          <w:numId w:val="18"/>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负责园区内的全部消防设施、设备的使用和管理及大楼火灾的报警和救助工作，并制定完善的消防应急方案；</w:t>
      </w:r>
    </w:p>
    <w:p>
      <w:pPr>
        <w:numPr>
          <w:ilvl w:val="0"/>
          <w:numId w:val="18"/>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认真贯彻“安全第一，预防为主”的方针，建立消防组织机构、职责、规章制度和工作程序，落实各级消防责任人。全面熟练掌握消防报警、干式灭火（气体）、湿式灭火（喷淋）、防排烟及消防栓五个系统的作用、位置和操作方法；</w:t>
      </w:r>
    </w:p>
    <w:p>
      <w:pPr>
        <w:numPr>
          <w:ilvl w:val="0"/>
          <w:numId w:val="18"/>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负责对消防设备和设施的维修保养，进行全面检查，确保消防设备和设施随时处于正常工作状态。负责办公区域和公共区域配装的各种灭火器材、防毒面具、烟感、喷淋设施以及楼梯、走道和出口的安全疏散提示、应急照明、通风设施等日常检查、维修；</w:t>
      </w:r>
    </w:p>
    <w:p>
      <w:pPr>
        <w:numPr>
          <w:ilvl w:val="0"/>
          <w:numId w:val="18"/>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每周对园区所有的消防设备进行一次全面检查、设施巡视检查工作，并做好记录，及时整改火险隐患，监护动火和易燃易爆用品存放情况，保持消防区及楼梯走道和出口畅通；</w:t>
      </w:r>
    </w:p>
    <w:p>
      <w:pPr>
        <w:numPr>
          <w:ilvl w:val="0"/>
          <w:numId w:val="18"/>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做好消防知识的培训和宣传，每年至少进行一次消防知识的培训和宣传，每半年至少组织一次综合消防应急演练。</w:t>
      </w:r>
    </w:p>
    <w:p>
      <w:pPr>
        <w:numPr>
          <w:ilvl w:val="0"/>
          <w:numId w:val="18"/>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做好其它防火灭火工作及消防配套设施的维修及保养。</w:t>
      </w:r>
    </w:p>
    <w:p>
      <w:pPr>
        <w:numPr>
          <w:ilvl w:val="0"/>
          <w:numId w:val="15"/>
        </w:numPr>
        <w:shd w:val="clear"/>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应急管理</w:t>
      </w:r>
    </w:p>
    <w:p>
      <w:pPr>
        <w:numPr>
          <w:ilvl w:val="0"/>
          <w:numId w:val="1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根据招标人的实际情况和要求，制订并严格执行突发性公共事件应急预案，每年按照相关法律法规完成应急演练，组织消防应急演练不少于2次，电梯安全应急演练不少于1次，突发事件应急演练不少于1次；</w:t>
      </w:r>
    </w:p>
    <w:p>
      <w:pPr>
        <w:numPr>
          <w:ilvl w:val="0"/>
          <w:numId w:val="1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当发生突发性事件时，应按预定方案进行处理，全力配合有关部门，保护人身安全并尽量减少财产损失；</w:t>
      </w:r>
    </w:p>
    <w:p>
      <w:pPr>
        <w:numPr>
          <w:ilvl w:val="0"/>
          <w:numId w:val="1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发生突发事件时，所在区域内的当班人员应在3分钟内赶到现场，到场后能准确判断情况，有效控制局面，并采取必要的隔离行动；监控中心指挥得当；如需协助，救援人员应规定的时间内赶到现场，合理布控；赶到现场人员须携带与事发性质相对应的应急工具；</w:t>
      </w:r>
    </w:p>
    <w:p>
      <w:pPr>
        <w:numPr>
          <w:ilvl w:val="0"/>
          <w:numId w:val="1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遇暴雨或其他灾害性天气，应采取以下应急措施：①对设备机房、停车场、广告牌等露天设施的抗强风能力进行检查和加固②对集水井泵运转情况进行检查，保证正常排涝③对排水系统进行检查疏通清除杂物，确保排水通畅④及时准备必要的抢险物资，安排值班人员进行巡查。</w:t>
      </w:r>
    </w:p>
    <w:p>
      <w:pPr>
        <w:numPr>
          <w:ilvl w:val="0"/>
          <w:numId w:val="15"/>
        </w:numPr>
        <w:shd w:val="clear"/>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装修管理</w:t>
      </w:r>
    </w:p>
    <w:p>
      <w:pPr>
        <w:numPr>
          <w:ilvl w:val="0"/>
          <w:numId w:val="2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严格落实装修报建相关的法规制度，根据招标人要求负责园区租户装修的方案审批、监督管理、竣工备案及档案管理工作，对需要向相关行政部门报建的，严格把控通过后方可施工。</w:t>
      </w:r>
    </w:p>
    <w:p>
      <w:pPr>
        <w:numPr>
          <w:ilvl w:val="0"/>
          <w:numId w:val="2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建立完善的园区租户装修服务制度，包括事前告知（法律法规禁止事项）、事中制止及事后上报义务履行的措施与方法，及日常巡查范围、要求及频次等。装修前，受理企业装修申报登记，与租户、装修施工单位签订装修服务协议，对用房的装修方案进行初步审核，告知租户、装修施工单位有关装饰装修的禁止行为和注意事项，装修方案经园区同意及备案后，方可施工。</w:t>
      </w:r>
    </w:p>
    <w:p>
      <w:pPr>
        <w:numPr>
          <w:ilvl w:val="0"/>
          <w:numId w:val="2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依据装修户数提前做好现场巡查人员配备及工具材料准备等工作。装修期间，每天巡查1次装修施工现场，登记工程进度。发现影响房屋外观、危及房屋结构安全及违规拆改共用管线、消防设施等行为，及时劝阻。</w:t>
      </w:r>
    </w:p>
    <w:p>
      <w:pPr>
        <w:numPr>
          <w:ilvl w:val="0"/>
          <w:numId w:val="2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装修结束后，应进行检查。对违反装修服务协议的当事人应按照约定处理，问题严重的应报告主管部门。</w:t>
      </w:r>
    </w:p>
    <w:p>
      <w:pPr>
        <w:numPr>
          <w:ilvl w:val="0"/>
          <w:numId w:val="2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提前对可能因装修造成损坏的共用部位（大堂、电梯厅、电梯轿厢、特殊材质地面等）采取防护措施。</w:t>
      </w:r>
    </w:p>
    <w:p>
      <w:pPr>
        <w:numPr>
          <w:ilvl w:val="0"/>
          <w:numId w:val="2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与园区租户签订管理协议（如装修垃圾搬运等），明确违约责任、处理措施。或有其它的疏导、管理途径，避免强买、强卖或由此引起的投诉、经济纠纷。</w:t>
      </w:r>
    </w:p>
    <w:p>
      <w:pPr>
        <w:numPr>
          <w:ilvl w:val="0"/>
          <w:numId w:val="2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指定装修垃圾存放点并设置围挡，装修垃圾袋装并及时集中清运。</w:t>
      </w:r>
    </w:p>
    <w:p>
      <w:pPr>
        <w:numPr>
          <w:ilvl w:val="0"/>
          <w:numId w:val="15"/>
        </w:numPr>
        <w:shd w:val="clear"/>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意见管理</w:t>
      </w:r>
    </w:p>
    <w:p>
      <w:pPr>
        <w:numPr>
          <w:ilvl w:val="0"/>
          <w:numId w:val="2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设有服务接待中心，公示24小时服务电话；</w:t>
      </w:r>
    </w:p>
    <w:p>
      <w:pPr>
        <w:numPr>
          <w:ilvl w:val="0"/>
          <w:numId w:val="2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每年至少1次征询租户对物业服务的意见；</w:t>
      </w:r>
    </w:p>
    <w:p>
      <w:pPr>
        <w:numPr>
          <w:ilvl w:val="0"/>
          <w:numId w:val="2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建立客户投诉意见处理程序，明确处理流程、处理时效、各层级职责、监督与回访等要求并有效落实；</w:t>
      </w:r>
    </w:p>
    <w:p>
      <w:pPr>
        <w:numPr>
          <w:ilvl w:val="0"/>
          <w:numId w:val="2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建立24小时电话接听制度，24小时受理客户报修、求助、投诉等；</w:t>
      </w:r>
    </w:p>
    <w:p>
      <w:pPr>
        <w:numPr>
          <w:ilvl w:val="0"/>
          <w:numId w:val="2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安排专人负责客户投诉处理，对于物业服务相关的投诉及时跟进处理,投标时</w:t>
      </w:r>
      <w:r>
        <w:rPr>
          <w:rFonts w:hint="eastAsia" w:hAnsi="宋体" w:cs="宋体"/>
          <w:kern w:val="0"/>
          <w:szCs w:val="21"/>
          <w:highlight w:val="none"/>
        </w:rPr>
        <w:t>同时</w:t>
      </w:r>
      <w:r>
        <w:rPr>
          <w:rFonts w:hint="eastAsia" w:ascii="宋体" w:hAnsi="宋体" w:cs="宋体"/>
          <w:kern w:val="0"/>
          <w:szCs w:val="21"/>
          <w:highlight w:val="none"/>
        </w:rPr>
        <w:t>提供专人名单</w:t>
      </w:r>
      <w:r>
        <w:rPr>
          <w:rFonts w:hint="eastAsia" w:hAnsi="宋体" w:cs="宋体"/>
          <w:kern w:val="0"/>
          <w:szCs w:val="21"/>
          <w:highlight w:val="none"/>
        </w:rPr>
        <w:t>和专人处理物业服务投诉的服务经验，</w:t>
      </w:r>
      <w:r>
        <w:rPr>
          <w:rFonts w:hint="eastAsia" w:cs="宋体"/>
          <w:highlight w:val="none"/>
        </w:rPr>
        <w:t>对“</w:t>
      </w:r>
      <w:r>
        <w:rPr>
          <w:rFonts w:hint="eastAsia" w:ascii="宋体" w:hAnsi="宋体" w:cs="宋体"/>
          <w:kern w:val="0"/>
          <w:szCs w:val="21"/>
          <w:highlight w:val="none"/>
        </w:rPr>
        <w:t>项目组织方案</w:t>
      </w:r>
      <w:r>
        <w:rPr>
          <w:rFonts w:hint="eastAsia" w:cs="宋体"/>
          <w:highlight w:val="none"/>
        </w:rPr>
        <w:t>”进行响应</w:t>
      </w:r>
      <w:r>
        <w:rPr>
          <w:rFonts w:hint="eastAsia" w:ascii="宋体" w:hAnsi="宋体" w:cs="宋体"/>
          <w:kern w:val="0"/>
          <w:szCs w:val="21"/>
          <w:highlight w:val="none"/>
        </w:rPr>
        <w:t>；</w:t>
      </w:r>
    </w:p>
    <w:p>
      <w:pPr>
        <w:numPr>
          <w:ilvl w:val="0"/>
          <w:numId w:val="2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项目现场受理的投诉，应及时作好记录，并根据投诉类别通知责任岗位处理；重大、热点投诉应及时填写相关记录发予送招标人；</w:t>
      </w:r>
    </w:p>
    <w:p>
      <w:pPr>
        <w:numPr>
          <w:ilvl w:val="0"/>
          <w:numId w:val="2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网络投诉须在投诉产生或收到转发后24小时内回复；其他形式的投诉均须在投诉产生或收到转发后1个工作日内回复；</w:t>
      </w:r>
    </w:p>
    <w:p>
      <w:pPr>
        <w:numPr>
          <w:ilvl w:val="0"/>
          <w:numId w:val="2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对于共性的、涉及公共部位和公共利益的投诉，每月整理汇总处理措施和结果，由</w:t>
      </w:r>
      <w:r>
        <w:rPr>
          <w:rFonts w:hint="eastAsia" w:hAnsi="宋体" w:cs="宋体"/>
          <w:kern w:val="0"/>
          <w:szCs w:val="21"/>
          <w:highlight w:val="none"/>
        </w:rPr>
        <w:t>招标人</w:t>
      </w:r>
      <w:r>
        <w:rPr>
          <w:rFonts w:hint="eastAsia" w:ascii="宋体" w:hAnsi="宋体" w:cs="宋体"/>
          <w:kern w:val="0"/>
          <w:szCs w:val="21"/>
          <w:highlight w:val="none"/>
        </w:rPr>
        <w:t>确定是否公示、公示张贴区域范围等；</w:t>
      </w:r>
    </w:p>
    <w:p>
      <w:pPr>
        <w:numPr>
          <w:ilvl w:val="0"/>
          <w:numId w:val="2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投诉处理过程中保持与客户沟通，投诉处理进度、处理情况应三天一次及时向投诉客户反馈；</w:t>
      </w:r>
    </w:p>
    <w:p>
      <w:pPr>
        <w:numPr>
          <w:ilvl w:val="0"/>
          <w:numId w:val="2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所有投诉均须有完整的处理记录，并建档保存；重大、热点投诉处理完毕后应形成专项报告，单独立卷保存；</w:t>
      </w:r>
    </w:p>
    <w:p>
      <w:pPr>
        <w:numPr>
          <w:ilvl w:val="0"/>
          <w:numId w:val="2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所有投诉处理完毕后，应进行100%回访；</w:t>
      </w:r>
    </w:p>
    <w:p>
      <w:pPr>
        <w:numPr>
          <w:ilvl w:val="0"/>
          <w:numId w:val="2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向公安机关报案的投诉，应协助公安部门处理；</w:t>
      </w:r>
    </w:p>
    <w:p>
      <w:pPr>
        <w:numPr>
          <w:ilvl w:val="0"/>
          <w:numId w:val="2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涉及依法裁决的投诉，按法律程序处理。</w:t>
      </w:r>
    </w:p>
    <w:p>
      <w:pPr>
        <w:numPr>
          <w:ilvl w:val="0"/>
          <w:numId w:val="15"/>
        </w:numPr>
        <w:shd w:val="clear"/>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设备、设施管理及维护服务</w:t>
      </w:r>
    </w:p>
    <w:p>
      <w:pPr>
        <w:numPr>
          <w:ilvl w:val="0"/>
          <w:numId w:val="2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负责园区所有土建、机电设备、给排水、外装饰及周边附属建筑物的管理、维护和保养；</w:t>
      </w:r>
    </w:p>
    <w:p>
      <w:pPr>
        <w:numPr>
          <w:ilvl w:val="0"/>
          <w:numId w:val="2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日常巡检发现问题应立即处理，有完整的报修、维修记录；小修工作应在1天内完成。相关法律规范或机电设备原有维护标准有特殊要求的，从其执行，但各机电设备设施管理的标准不低于国家、政府部门有关规定要求。无列明维护管理标准要求的，按相类似设备要求执行；</w:t>
      </w:r>
    </w:p>
    <w:p>
      <w:pPr>
        <w:numPr>
          <w:ilvl w:val="0"/>
          <w:numId w:val="2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每月制定次月机电设备设施工作计划、主要工作情况，内容包括但不限于各机电设备设施的维护管理工作内容、工作人员排班等，汇编至物业月度报告（有相应的摄像照片记录）；</w:t>
      </w:r>
    </w:p>
    <w:p>
      <w:pPr>
        <w:numPr>
          <w:ilvl w:val="0"/>
          <w:numId w:val="2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设备设施标志、标牌齐全，墙面悬挂“操作、维修作业指导书”及必要的“应急处理预案”。设备房保证24小时有值班人员进行维护。无人值守的设备房上锁管理，控制中心留存所有设备房的钥匙；</w:t>
      </w:r>
    </w:p>
    <w:p>
      <w:pPr>
        <w:numPr>
          <w:ilvl w:val="0"/>
          <w:numId w:val="2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设备房地面应平坦、干燥、防滑，墙面应平整、整洁，无积尘，设备表面无油污；设备房中重要设备上端有排污管等设施时，应在该设备上方加装喇叭口、挡板等设施。天台或地下设备房内的控制室入口处应有防止水浸的措施。设置集水底坑的设备房，应保持排水通畅；</w:t>
      </w:r>
    </w:p>
    <w:p>
      <w:pPr>
        <w:numPr>
          <w:ilvl w:val="0"/>
          <w:numId w:val="2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相关工作要求如下：</w:t>
      </w:r>
    </w:p>
    <w:tbl>
      <w:tblPr>
        <w:tblStyle w:val="22"/>
        <w:tblW w:w="9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8"/>
        <w:gridCol w:w="8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A</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b/>
                <w:kern w:val="0"/>
                <w:szCs w:val="21"/>
                <w:highlight w:val="none"/>
              </w:rPr>
            </w:pPr>
            <w:r>
              <w:rPr>
                <w:rFonts w:hint="eastAsia" w:ascii="宋体" w:hAnsi="宋体" w:cs="宋体"/>
                <w:b/>
                <w:kern w:val="0"/>
                <w:szCs w:val="21"/>
                <w:highlight w:val="none"/>
              </w:rPr>
              <w:t>变配电系统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按时规定周期对变配电设施进行检查维护、清洁，并做好记录。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高低压配电柜运行正常、操作灵活，仪表显示准确。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变压器运行正常，通风降温设备可靠，温度显示准确。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制定突发事件应急处理程序和临时用电管理 措施，明确停、送审批权限，停、送电按规定提前通知租户。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5</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制定变本电室人员出入管理制度，配电室实行封闭管理，无鼠洞，配备符合要求的灭火器材。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6</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高压防护用具、验电器按规定每半年检定1次，计量器具、检测仪表按规定周期送计检局检定。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7</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自备电房贴、挂安全操作程序及应急管理制度。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8</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设备责任人每日对供配电系统进行2次巡视检查并记录相关运行参数。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9</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负责选聘有资质单位对高压部分（变压器之前的部分，含变压器）做好维护检修并支付相关费用；负责选聘具备相关资质的专业人员对低压部分（变压器之后的部分）做好维护检修。（配备4个电房，分别为1号1000kVA，2号1000kVA,3号2000kVA,4号2*1250kVA，外部双回路供电至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B</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b/>
                <w:kern w:val="0"/>
                <w:szCs w:val="21"/>
                <w:highlight w:val="none"/>
              </w:rPr>
            </w:pPr>
            <w:r>
              <w:rPr>
                <w:rFonts w:hint="eastAsia" w:ascii="宋体" w:hAnsi="宋体" w:cs="宋体"/>
                <w:b/>
                <w:kern w:val="0"/>
                <w:szCs w:val="21"/>
                <w:highlight w:val="none"/>
              </w:rPr>
              <w:t>给排水系统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每天检查1次生活泵、气压罐、排污泵、水池水箱、管道阀门，检查公共卫生间、开水房、管道井内的上下水管道、阀门、减压阀，集水坑、污水坑、室内外排水沟渠（井）。设备运行正常，压力符合要求，仪表指示准确，无跑、冒、滴、漏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生活水泵、管道、阀门定期进行维护保养；集水坑、污水坑、化粪池、室内外排水沟渠（井）定期检查，视实际情况进行疏通清淘；排水畅通无堵塞。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生活水箱（池）检修口封闭、加锁，通气口需设隔离网，环境卫生，无污染物。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8659" w:type="dxa"/>
            <w:tcBorders>
              <w:tl2br w:val="nil"/>
              <w:tr2bl w:val="nil"/>
            </w:tcBorders>
            <w:vAlign w:val="center"/>
          </w:tcPr>
          <w:p>
            <w:pPr>
              <w:shd w:val="clear"/>
              <w:tabs>
                <w:tab w:val="left" w:pos="0"/>
                <w:tab w:val="left" w:pos="1575"/>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落实停水、爆管等应急处理程序，计划停水按规定提前通知园区租户。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C</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b/>
                <w:kern w:val="0"/>
                <w:szCs w:val="21"/>
                <w:highlight w:val="none"/>
              </w:rPr>
            </w:pPr>
            <w:r>
              <w:rPr>
                <w:rFonts w:hint="eastAsia" w:ascii="宋体" w:hAnsi="宋体" w:cs="宋体"/>
                <w:b/>
                <w:kern w:val="0"/>
                <w:szCs w:val="21"/>
                <w:highlight w:val="none"/>
              </w:rPr>
              <w:t xml:space="preserve">空调系统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负责园区公共部分及甲方办公用房空调的维保、维修、清洗（约50台），进行园区公共区域空调系统的日常维护、保养进行监管，保证园区公共区域、自有空调的运行。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设备工作正常、安全装置有效。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运行期间每日巡视1次空调系统，保证室内温度符合相关规定。检查设备运行状态及参数。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每月检查空调主机，测试运行控制和安全控制功能，分析运行数据，对能源消耗进行统计、分析。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5</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定期对空调系统电源柜、控制柜进行检查、紧固螺栓、测试绝缘，保证系统的用电安全。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6</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管道、阀门无锈蚀，保温层完好，无跑、冒、滴、漏现象；每1年至少除锈漆刷漆1次。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7</w:t>
            </w:r>
          </w:p>
        </w:tc>
        <w:tc>
          <w:tcPr>
            <w:tcW w:w="8659" w:type="dxa"/>
            <w:tcBorders>
              <w:tl2br w:val="nil"/>
              <w:tr2bl w:val="nil"/>
            </w:tcBorders>
            <w:vAlign w:val="center"/>
          </w:tcPr>
          <w:p>
            <w:pPr>
              <w:shd w:val="clear"/>
              <w:tabs>
                <w:tab w:val="left" w:pos="3075"/>
              </w:tabs>
              <w:rPr>
                <w:rFonts w:ascii="宋体" w:hAnsi="宋体" w:cs="宋体"/>
                <w:kern w:val="0"/>
                <w:szCs w:val="21"/>
                <w:highlight w:val="none"/>
              </w:rPr>
            </w:pPr>
            <w:r>
              <w:rPr>
                <w:rFonts w:hint="eastAsia" w:ascii="宋体" w:hAnsi="宋体" w:cs="宋体"/>
                <w:kern w:val="0"/>
                <w:szCs w:val="21"/>
                <w:highlight w:val="none"/>
              </w:rPr>
              <w:t>根据实际情况进行风管系统清洗，保证空气质量。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8</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科学合理开、关中央空调，保障冷气正常供应使用。按国家相关要求严格控制温度范围，夏季室内温度 22-26℃，做好节能工作。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9</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空调设备发生故障时，维保技术人员应在30分钟内到达现场抢修，一般故障在4小时内修复；如压缩机或电路板等其他特殊的大故障，则应在48小时内修复。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10</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每年对空调系统进行1次整体清洗、维修养护。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D</w:t>
            </w:r>
          </w:p>
        </w:tc>
        <w:tc>
          <w:tcPr>
            <w:tcW w:w="8659" w:type="dxa"/>
            <w:tcBorders>
              <w:tl2br w:val="nil"/>
              <w:tr2bl w:val="nil"/>
            </w:tcBorders>
            <w:vAlign w:val="center"/>
          </w:tcPr>
          <w:p>
            <w:pPr>
              <w:shd w:val="clear"/>
              <w:rPr>
                <w:rFonts w:ascii="宋体" w:hAnsi="宋体" w:cs="宋体"/>
                <w:b/>
                <w:kern w:val="0"/>
                <w:szCs w:val="21"/>
                <w:highlight w:val="none"/>
              </w:rPr>
            </w:pPr>
            <w:r>
              <w:rPr>
                <w:rFonts w:hint="eastAsia" w:ascii="宋体" w:hAnsi="宋体" w:cs="宋体"/>
                <w:b/>
                <w:kern w:val="0"/>
                <w:szCs w:val="21"/>
                <w:highlight w:val="none"/>
              </w:rPr>
              <w:t>电梯系统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负责选聘专业有资质的公司对电梯实行维保并支付相关费用（合共8台电梯，两层、六层、八层各1台， 五层2台，三层3台），对电梯维保公司进行监管，负责办理电梯年审、日常维修保养（含电梯机房、空调等与电梯相关的附属设备设施）、测试调试工作。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电梯运行平衡、乘坐舒适、平层准确，轿厢照明、内外扶梯按钮完好，楼层显示正常，轿厢内整洁无污染。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根据温度开启轿厢风扇。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警铃或其他救助设备功能完备，称重装备可靠，安全装备有效无缺损，电梯运行无异常。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5</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设专职人员对电梯维护保养进行监督，对电梯运行进行管理，并按技术要求做好日常运行巡检记录。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6</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电梯发生一般性故障，专业维修保养人员应在1小时内到达现场维修；发生电梯困人或其他重大事件时物业管理专职人员应及时应急处理，专业维修保养人员应在 15 分钟内到达现场进行抢修。电梯困人故障解除后，应对被困人员进行善后解释和安抚工作。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7</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电梯机房实行封闭管理，机房内温度不超过设备安全运行环境温度，配备应急照明、灭器和盘车工具齐全，并挂于显眼方便处。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8</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轿箱内张贴有效期内电梯年检合格证、电梯保险标识、24小时值班工作人员电话（具体电梯救援资格），紧急对讲使用方便可靠，有相应标识；按钮面板整洁，字迹清晰。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9</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电梯维修保养合同完备（包括要求约定年度、季度、月度检修、维护保养计划、电梯年检合格、紧急救援时间），对供方的工作及人员有有效的监督管理制度。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10</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整体电梯系统设备设施每天不少于一次巡查记录。中标人应聘请具有相应资质的专业公司对电梯进行周期性检查维护，并对电梯进行半月、季度、半年、年度维保。维保的执行细则和电梯技术参数应符合相关技术规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有关维修保养计划须报园区备案。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E</w:t>
            </w:r>
          </w:p>
        </w:tc>
        <w:tc>
          <w:tcPr>
            <w:tcW w:w="8659" w:type="dxa"/>
            <w:tcBorders>
              <w:tl2br w:val="nil"/>
              <w:tr2bl w:val="nil"/>
            </w:tcBorders>
            <w:vAlign w:val="center"/>
          </w:tcPr>
          <w:p>
            <w:pPr>
              <w:shd w:val="clear"/>
              <w:rPr>
                <w:rFonts w:ascii="宋体" w:hAnsi="宋体" w:cs="宋体"/>
                <w:b/>
                <w:kern w:val="0"/>
                <w:szCs w:val="21"/>
                <w:highlight w:val="none"/>
              </w:rPr>
            </w:pPr>
            <w:r>
              <w:rPr>
                <w:rFonts w:hint="eastAsia" w:ascii="宋体" w:hAnsi="宋体" w:cs="宋体"/>
                <w:b/>
                <w:kern w:val="0"/>
                <w:szCs w:val="21"/>
                <w:highlight w:val="none"/>
              </w:rPr>
              <w:t>消防系统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负责选聘专业有资质符合法律法规规定的公司对消防系统进行维保并支付相关费用，对消防维保公司进行监管，协调进行消防系统的日常维护、检查、维修等工作；负责选聘消防自动报警远程监控系统联网检测服务单位并支付相关费用（远程自动报警探头约2000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当被检测探测器响应参数达到预定值时，探测器应输出火警信号，同时启动探测器的确认灯。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操作启动部件，手动火灾报警按钮应能输出火警信号，报警按钮应当有动作显示。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火灾时应能将火灾疏散层的扬声器和广播背景音响系统强制转入火灾应急广播状态，并控制在选定的楼层内。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5</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报警功能：能正常接收来自火灾探测器及其他报警触发器件的火灾报警信号，发出声光信号。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6</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故障报警：当控制器和火灾探测器、控制器和传输火灾报警信号作用的部件发生故障时，应当正确指出故障部位。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7</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火警优先功能：显示预报警和故障信号时，如有火灾报警信号输入，应当立即显示火灾报警信号；显示故障信号时，如有预报警信号输入，应当显示预报警信号。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8</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电源转换功能：主电源切断时，备用电源应当能自动投入运行；当主电源恢复时能从备用电源自动转入主电源状态。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9</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消防对讲电话应语音清楚无干扰。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10</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火灾确认后：消防电梯联动迫降后可进行人工操作，其功能、信号应当正常；控制相应部分的正压风机和排烟机启动，接受其反馈信号并显示其状态；发出控制信号，将着火层防烟风阀、排烟阀打开，接受其反馈信号并显示其状态；控制室应能控制有关部分的防火卷帘门按规定程序下降，接受其反馈信号并显示其状态；应当释放所有门禁装备，保证疏散门畅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自动喷淋系统有水流动时，其水流指示器应显示、压力开关运作、水力警铃应发出报警铃声。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安全出口、疏散指示灯火灾时应维持90分钟以上的照明时间。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消防水带每半年检查1次，应无破损、发黑、发霉现象。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14</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联动控制台工作正常、显示正确，系统误报率不超过3%。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15</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消火栓每月检查1次，保持消火栓箱内配件完好。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16</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消防泵每月启动1次，每年保养1次。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17</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保证消防用水的基本储备，确保火灾险情时的应急灭火用水。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18</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维保公司工作人员需经消防培训考试合格持证上岗。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19</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消防主机除检修时间外，必需处于开机运行状态。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20</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发生一般性故障，专业维修保养人员应在12小时内到达现场维修；发生重大故障时，物业管理专职人员应及时采取相应措施应急处理，专业维修保养人员应在30分钟内到达现场进行抢修。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负责监督专业消防维保公司做好消防设备月、季、年度测试工作，按时段和设备数量比例，抽查、检测系统设备，全年覆盖所有系统设备。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配合专业消防公司制定消防设备年度保养计划，并监督完成情况。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F</w:t>
            </w:r>
          </w:p>
        </w:tc>
        <w:tc>
          <w:tcPr>
            <w:tcW w:w="8659" w:type="dxa"/>
            <w:tcBorders>
              <w:tl2br w:val="nil"/>
              <w:tr2bl w:val="nil"/>
            </w:tcBorders>
            <w:vAlign w:val="center"/>
          </w:tcPr>
          <w:p>
            <w:pPr>
              <w:shd w:val="clear"/>
              <w:rPr>
                <w:rFonts w:ascii="宋体" w:hAnsi="宋体" w:cs="宋体"/>
                <w:b/>
                <w:kern w:val="0"/>
                <w:szCs w:val="21"/>
                <w:highlight w:val="none"/>
              </w:rPr>
            </w:pPr>
            <w:r>
              <w:rPr>
                <w:rFonts w:hint="eastAsia" w:ascii="宋体" w:hAnsi="宋体" w:cs="宋体"/>
                <w:b/>
                <w:kern w:val="0"/>
                <w:szCs w:val="21"/>
                <w:highlight w:val="none"/>
              </w:rPr>
              <w:t>安全防范系统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负责对安全防范系统进行维保，协调进行安防系统的日常维护、检查、维修等工作。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系统设备时间、日期准确，摄像机编号有逻辑性。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矩阵工作正常，线路整齐，分组同步切换标识清楚。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传输线路应有良好的接地，并对干扰信号进行屏蔽，同轴电缆两端“地电压”应一致。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5</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多媒体图形工作站应直观显示各监控点位置，对报警应及时响应。录像机工作正常，显示准确、整洁。画面分割器工作正常、整洁。监视器工作正常、图像清晰、色彩良好、整洁。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6</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录入资料应保持30天以上，并应有时间、日期及摄像机编号，有特殊要求的参照相关规定。存在诉讼隐患的突发事件监控录像保存期限不少于2年。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7</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摄像机安装牢固，位置正确，工作正常、整洁，室外摄像机应注意防水、防尘、密封及散热，并应满足室外最低照度要求。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8</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相关报警装备安装牢固，灵敏可靠，及时反馈报警信息。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9</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每季度对 UPS 电源进行1次完全代载放电，并充电检测。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10</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维保工作由专职人员进行，非授权人员不得擅自更改安防设置及对主机开盖检测箱内元件。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设立监控资料调用、查阅权限，调用查阅需经授权。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每年由物业公司组织相关专业人员对安全防范系统进行1次全面检查，对安全防范方面存在的漏洞、隐患等情况进行限期整改。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项目经理夜间查岗每月不少于1次，项目安全负责人夜间查岗每周不少于1次。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14</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防火门、大堂门禁系统、自动感应门每月检查保养1次。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15</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负责小镇范围内智能化系统及其设备的正常运转，确保安全监控24小时专人看管，协助小镇运营机构管理小镇门禁系统服务、公共部分网络服务。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G</w:t>
            </w:r>
          </w:p>
        </w:tc>
        <w:tc>
          <w:tcPr>
            <w:tcW w:w="8659" w:type="dxa"/>
            <w:tcBorders>
              <w:tl2br w:val="nil"/>
              <w:tr2bl w:val="nil"/>
            </w:tcBorders>
            <w:vAlign w:val="center"/>
          </w:tcPr>
          <w:p>
            <w:pPr>
              <w:shd w:val="clear"/>
              <w:rPr>
                <w:rFonts w:ascii="宋体" w:hAnsi="宋体" w:cs="宋体"/>
                <w:b/>
                <w:kern w:val="0"/>
                <w:szCs w:val="21"/>
                <w:highlight w:val="none"/>
              </w:rPr>
            </w:pPr>
            <w:r>
              <w:rPr>
                <w:rFonts w:hint="eastAsia" w:ascii="宋体" w:hAnsi="宋体" w:cs="宋体"/>
                <w:b/>
                <w:kern w:val="0"/>
                <w:szCs w:val="21"/>
                <w:highlight w:val="none"/>
              </w:rPr>
              <w:t>公共照明系统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在满足使用的要求情况下，合理控制机电设备照明的开关时间，尽量节省能源；落实好公共照明节能管理制度及方案，拟订照明设施开关计划，对能源消耗进行统计、分析。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每天 1 次巡查大堂、电梯间、停车场、通道、光彩照明、LED 灯、标识牌灯、景观照明、霓虹灯等公共部位照明，有效亮灯率达 98%以上，如有缺损及时更换。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每周 1 次巡检公共照明电源柜，如有问题及时更换，保证设备正常运行和安全用电。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H</w:t>
            </w:r>
          </w:p>
        </w:tc>
        <w:tc>
          <w:tcPr>
            <w:tcW w:w="8659" w:type="dxa"/>
            <w:tcBorders>
              <w:tl2br w:val="nil"/>
              <w:tr2bl w:val="nil"/>
            </w:tcBorders>
            <w:vAlign w:val="center"/>
          </w:tcPr>
          <w:p>
            <w:pPr>
              <w:shd w:val="clear"/>
              <w:rPr>
                <w:rFonts w:ascii="宋体" w:hAnsi="宋体" w:cs="宋体"/>
                <w:b/>
                <w:kern w:val="0"/>
                <w:szCs w:val="21"/>
                <w:highlight w:val="none"/>
              </w:rPr>
            </w:pPr>
            <w:r>
              <w:rPr>
                <w:rFonts w:hint="eastAsia" w:ascii="宋体" w:hAnsi="宋体" w:cs="宋体"/>
                <w:b/>
                <w:kern w:val="0"/>
                <w:szCs w:val="21"/>
                <w:highlight w:val="none"/>
              </w:rPr>
              <w:t>避雷系统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每年雨季前必须要按照法律法规规定对建筑避雷系统进行检测，留存检测合格报告，同时动员和组织租户对重要设施设备进行防雷检测。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保持壁垒系统完整性，不得擅自拆除、迁改避雷设施。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每半年对楼顶层的避雷针、避雷带、避雷线、避雷网、屋面设备、其它金属物体的接地装置进行全面检查，有问题及时解决。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I</w:t>
            </w:r>
          </w:p>
        </w:tc>
        <w:tc>
          <w:tcPr>
            <w:tcW w:w="8659" w:type="dxa"/>
            <w:tcBorders>
              <w:tl2br w:val="nil"/>
              <w:tr2bl w:val="nil"/>
            </w:tcBorders>
            <w:vAlign w:val="center"/>
          </w:tcPr>
          <w:p>
            <w:pPr>
              <w:shd w:val="clear"/>
              <w:rPr>
                <w:rFonts w:ascii="宋体" w:hAnsi="宋体" w:cs="宋体"/>
                <w:b/>
                <w:kern w:val="0"/>
                <w:szCs w:val="21"/>
                <w:highlight w:val="none"/>
              </w:rPr>
            </w:pPr>
            <w:r>
              <w:rPr>
                <w:rFonts w:hint="eastAsia" w:ascii="宋体" w:hAnsi="宋体" w:cs="宋体"/>
                <w:b/>
                <w:kern w:val="0"/>
                <w:szCs w:val="21"/>
                <w:highlight w:val="none"/>
              </w:rPr>
              <w:t>标识系统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参照园区现有标识系统情况，根据招标人要求设置、替换、完善和管理园区内的标识系统并承担相关费用。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配置并在适当时使用“维护进行中”、“小心路滑”等临时性服务状态标识。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公共区域内的紧急出口、消防通道、禁烟区等设置警示性标识。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公共区域及仓储库区内设指示性标识（包括引导标志和功能标识，如电梯、楼梯、出入口通道、残疾人通道、门牌号、问询处、卫生间、有毒有害废弃物存放点标识等）。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5</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应在主要通道及停车场设置交通标识，主要路口设路标。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6</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做好入驻、退园企业的指示牌、标识的维护、更换、清洁工作。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7</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标识的图形符号应该符合相关的法律法规要求；各类标识的格式应统一，悬挂（摆放）应安全、正规、醒目、便利、协调和无涂改，文字规范。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J</w:t>
            </w:r>
          </w:p>
        </w:tc>
        <w:tc>
          <w:tcPr>
            <w:tcW w:w="8659" w:type="dxa"/>
            <w:tcBorders>
              <w:tl2br w:val="nil"/>
              <w:tr2bl w:val="nil"/>
            </w:tcBorders>
            <w:vAlign w:val="center"/>
          </w:tcPr>
          <w:p>
            <w:pPr>
              <w:shd w:val="clear"/>
              <w:rPr>
                <w:rFonts w:ascii="宋体" w:hAnsi="宋体" w:cs="宋体"/>
                <w:b/>
                <w:kern w:val="0"/>
                <w:szCs w:val="21"/>
                <w:highlight w:val="none"/>
              </w:rPr>
            </w:pPr>
            <w:r>
              <w:rPr>
                <w:rFonts w:hint="eastAsia" w:ascii="宋体" w:hAnsi="宋体" w:cs="宋体"/>
                <w:b/>
                <w:kern w:val="0"/>
                <w:szCs w:val="21"/>
                <w:highlight w:val="none"/>
              </w:rPr>
              <w:t>公共区域设施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各类金属栏、杆、桩、牌、盖等以油漆作为保护层的公共设施，表面油漆无明显脱落、无明显锈迹，安装牢固。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路面无明显污迹、破损，各类沟、渠、井、池盖安装平稳牢固无破损。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用于固定单（摩托）车库（棚）的支架应牢固、整齐、美观。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休闲椅等休闲、配套服务设备设施油漆无明显脱落、无腐烂、无倒塌、断裂等安全隐患。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5</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各种门、杆、柱、扶手、围栏、雕塑无倒塌、断裂等安全隐患，功能良好，油漆无大面积脱落；水景、易攀爬的设施有禁止行为警示标识。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6</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空调架安装有序，室外招牌、广告、霓虹灯整洁统一无安全隐患，外墙装饰无破损或污迹。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7</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各类公共设施、通道、管道井的门挂锁开启便利。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8</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年上汛前和强降雨后检查屋面防水和雨水管等。公共区域内的雨水、污水管道、沟槽每半年检查、疏通1次。雨水、污水井每半年检查、清掏1次。雨水、污水管道、沟槽发生堵塞应及时疏通。化粪池每年清掏不少于1次，每季度检查1次，防止外溢。检查、疏通工作留存清晰记录，有异常堵塞物的，需要拍照存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9</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公共区域运行良好，无违规违法张贴小广告。对未经许可擅自张贴、更改建筑外立面的广告、招牌和各项构建物沟通予以拆除。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10</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外饰：夜饰照明系统的日常管理、使用和维修。四大节日期间的装饰工作。在满足园区使用要求的前提下，合理控制机电设备和照明的开关时间，尽量节省能源。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设立24小时工程技术人员值班备勤岗，随时接受园区报修。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负责园区公共会议室、路演厅、展厅等日常清洁及维护保养。</w:t>
            </w:r>
          </w:p>
        </w:tc>
      </w:tr>
    </w:tbl>
    <w:p>
      <w:pPr>
        <w:numPr>
          <w:ilvl w:val="0"/>
          <w:numId w:val="15"/>
        </w:numPr>
        <w:shd w:val="clear"/>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环境保洁服务</w:t>
      </w:r>
    </w:p>
    <w:p>
      <w:pPr>
        <w:numPr>
          <w:ilvl w:val="0"/>
          <w:numId w:val="23"/>
        </w:numPr>
        <w:shd w:val="clear"/>
        <w:adjustRightInd w:val="0"/>
        <w:snapToGrid w:val="0"/>
        <w:spacing w:line="360" w:lineRule="auto"/>
        <w:ind w:hanging="5"/>
        <w:rPr>
          <w:rFonts w:ascii="宋体" w:hAnsi="宋体" w:cs="宋体"/>
          <w:b/>
          <w:kern w:val="0"/>
          <w:szCs w:val="21"/>
          <w:highlight w:val="none"/>
        </w:rPr>
      </w:pPr>
      <w:r>
        <w:rPr>
          <w:rFonts w:hint="eastAsia" w:ascii="宋体" w:hAnsi="宋体" w:cs="宋体"/>
          <w:b/>
          <w:kern w:val="0"/>
          <w:szCs w:val="21"/>
          <w:highlight w:val="none"/>
        </w:rPr>
        <w:t>基本要求</w:t>
      </w:r>
    </w:p>
    <w:p>
      <w:pPr>
        <w:numPr>
          <w:ilvl w:val="0"/>
          <w:numId w:val="24"/>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每年根据合同约定的清洁标准、定期保洁工作内容等，制定年度工作计划。每月依据年度计划， 结合上月清洁工作中须改进事项，制定月度工作计划，并落实。报</w:t>
      </w:r>
      <w:r>
        <w:rPr>
          <w:rFonts w:hint="eastAsia" w:hAnsi="宋体" w:cs="宋体"/>
          <w:kern w:val="0"/>
          <w:szCs w:val="21"/>
          <w:highlight w:val="none"/>
        </w:rPr>
        <w:t>招标人</w:t>
      </w:r>
      <w:r>
        <w:rPr>
          <w:rFonts w:hint="eastAsia" w:ascii="宋体" w:hAnsi="宋体" w:cs="宋体"/>
          <w:kern w:val="0"/>
          <w:szCs w:val="21"/>
          <w:highlight w:val="none"/>
        </w:rPr>
        <w:t>备案。</w:t>
      </w:r>
    </w:p>
    <w:p>
      <w:pPr>
        <w:numPr>
          <w:ilvl w:val="0"/>
          <w:numId w:val="24"/>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管理人员每日检查清洁质量，每周抽查区域须覆盖管理区域。每栋楼层内至少设置一个清洁工作签到点，作为清洁人员、管理人员签到之用，以保证清洁质量。</w:t>
      </w:r>
    </w:p>
    <w:p>
      <w:pPr>
        <w:numPr>
          <w:ilvl w:val="0"/>
          <w:numId w:val="23"/>
        </w:numPr>
        <w:shd w:val="clear"/>
        <w:adjustRightInd w:val="0"/>
        <w:snapToGrid w:val="0"/>
        <w:spacing w:line="360" w:lineRule="auto"/>
        <w:ind w:hanging="5"/>
        <w:rPr>
          <w:rFonts w:ascii="宋体" w:hAnsi="宋体" w:cs="宋体"/>
          <w:b/>
          <w:kern w:val="0"/>
          <w:szCs w:val="21"/>
          <w:highlight w:val="none"/>
        </w:rPr>
      </w:pPr>
      <w:r>
        <w:rPr>
          <w:rFonts w:hint="eastAsia" w:ascii="宋体" w:hAnsi="宋体" w:cs="宋体"/>
          <w:b/>
          <w:kern w:val="0"/>
          <w:szCs w:val="21"/>
          <w:highlight w:val="none"/>
        </w:rPr>
        <w:t>清洁频次要求</w:t>
      </w:r>
    </w:p>
    <w:p>
      <w:pPr>
        <w:numPr>
          <w:ilvl w:val="0"/>
          <w:numId w:val="25"/>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主干道及广场、主出入口每日清扫2次并每小时至少巡视1次，如有污迹及时冲洗，及时清除道路积水；</w:t>
      </w:r>
    </w:p>
    <w:p>
      <w:pPr>
        <w:numPr>
          <w:ilvl w:val="0"/>
          <w:numId w:val="25"/>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2米以下墙面、门窗及其他公共设施每周清洁1次；路灯、楼道灯及2米以上墙面、门窗及其他公共设施每月清洁2次；</w:t>
      </w:r>
    </w:p>
    <w:p>
      <w:pPr>
        <w:numPr>
          <w:ilvl w:val="0"/>
          <w:numId w:val="25"/>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公共洗手间地面拖抹不少于3次，随时保洁，至少2小时内巡回1次，每天进行消毒1次（注：毛坯场地洗手间每月拖洗不少于1次，有客户入驻即恢复常规清洁频次）；</w:t>
      </w:r>
    </w:p>
    <w:p>
      <w:pPr>
        <w:numPr>
          <w:ilvl w:val="0"/>
          <w:numId w:val="25"/>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楼层电梯厅及公共走道每日清扫2次，每日拖洗1次（注：毛坯场地电梯厅及公共走道每月拖洗不少于1次，有客户入驻即恢复常规清洁频次）；每年对观光电梯内外幕墙清洗1次；</w:t>
      </w:r>
    </w:p>
    <w:p>
      <w:pPr>
        <w:numPr>
          <w:ilvl w:val="0"/>
          <w:numId w:val="25"/>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消防楼道每周全面清扫3次，每周拖洗2次，扶手每周抹拭3次；</w:t>
      </w:r>
    </w:p>
    <w:p>
      <w:pPr>
        <w:numPr>
          <w:ilvl w:val="0"/>
          <w:numId w:val="25"/>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绿化带每日巡视清洁2次；绿地一有垃圾，要求半小时内拣拾干净；</w:t>
      </w:r>
    </w:p>
    <w:p>
      <w:pPr>
        <w:numPr>
          <w:ilvl w:val="0"/>
          <w:numId w:val="25"/>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大堂、门窗、电梯轿厢随时保洁（避开人流高峰期）；电梯轿厢地毯每周更换清洗不少于1次；</w:t>
      </w:r>
    </w:p>
    <w:p>
      <w:pPr>
        <w:numPr>
          <w:ilvl w:val="0"/>
          <w:numId w:val="25"/>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天台每一周清洁一次；采光井每天清洁一次；</w:t>
      </w:r>
    </w:p>
    <w:p>
      <w:pPr>
        <w:numPr>
          <w:ilvl w:val="0"/>
          <w:numId w:val="25"/>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雨水沟每月清洁一次（雨季根据实际需要增加频次）；</w:t>
      </w:r>
    </w:p>
    <w:p>
      <w:pPr>
        <w:numPr>
          <w:ilvl w:val="0"/>
          <w:numId w:val="25"/>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雨后对区域内主路、干路积水进行清扫；雨后4小时道路无成片积水，雨后天晴1日内恢复道路清洁标准；</w:t>
      </w:r>
    </w:p>
    <w:p>
      <w:pPr>
        <w:numPr>
          <w:ilvl w:val="0"/>
          <w:numId w:val="25"/>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台风天气后及时清理道路及绿化带的绿化或其它垃圾及恢复。</w:t>
      </w:r>
    </w:p>
    <w:p>
      <w:pPr>
        <w:numPr>
          <w:ilvl w:val="0"/>
          <w:numId w:val="25"/>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以上的清洁频次要求为最低要求，需要保证公共区域包括但不限于公共洗手间、主干道及广场、主出入口、楼梯电梯厅、公共走道、大堂、电梯轿厢时刻的干净整洁。</w:t>
      </w:r>
    </w:p>
    <w:p>
      <w:pPr>
        <w:numPr>
          <w:ilvl w:val="0"/>
          <w:numId w:val="23"/>
        </w:numPr>
        <w:shd w:val="clear"/>
        <w:adjustRightInd w:val="0"/>
        <w:snapToGrid w:val="0"/>
        <w:spacing w:line="360" w:lineRule="auto"/>
        <w:ind w:hanging="5"/>
        <w:rPr>
          <w:rFonts w:ascii="宋体" w:hAnsi="宋体" w:cs="宋体"/>
          <w:b/>
          <w:kern w:val="0"/>
          <w:szCs w:val="21"/>
          <w:highlight w:val="none"/>
        </w:rPr>
      </w:pPr>
      <w:r>
        <w:rPr>
          <w:rFonts w:hint="eastAsia" w:ascii="宋体" w:hAnsi="宋体" w:cs="宋体"/>
          <w:b/>
          <w:kern w:val="0"/>
          <w:szCs w:val="21"/>
          <w:highlight w:val="none"/>
        </w:rPr>
        <w:t>清洁标准</w:t>
      </w:r>
    </w:p>
    <w:p>
      <w:pPr>
        <w:numPr>
          <w:ilvl w:val="0"/>
          <w:numId w:val="2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环卫设施:应根据招标人的实际情况合理设置相关环卫设施，如根据招标人保洁需要在公共区域配置</w:t>
      </w:r>
      <w:r>
        <w:rPr>
          <w:rFonts w:hint="eastAsia" w:hAnsi="宋体" w:cs="宋体"/>
          <w:kern w:val="0"/>
          <w:szCs w:val="21"/>
          <w:highlight w:val="none"/>
        </w:rPr>
        <w:t>分类垃圾桶</w:t>
      </w:r>
      <w:r>
        <w:rPr>
          <w:rFonts w:hint="eastAsia" w:ascii="宋体" w:hAnsi="宋体" w:cs="宋体"/>
          <w:kern w:val="0"/>
          <w:szCs w:val="21"/>
          <w:highlight w:val="none"/>
        </w:rPr>
        <w:t>、在适当位置设置垃圾中转点、餐厨垃圾收集转运点、在集中装修期间有临时建渣堆放处等；</w:t>
      </w:r>
    </w:p>
    <w:p>
      <w:pPr>
        <w:numPr>
          <w:ilvl w:val="0"/>
          <w:numId w:val="2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清洁、保洁实行责任制，有专职保洁人员，明确责任范围，实行标准化作业；</w:t>
      </w:r>
    </w:p>
    <w:p>
      <w:pPr>
        <w:numPr>
          <w:ilvl w:val="0"/>
          <w:numId w:val="2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各区域清洁要求：</w:t>
      </w:r>
    </w:p>
    <w:tbl>
      <w:tblPr>
        <w:tblStyle w:val="22"/>
        <w:tblW w:w="97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76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区域</w:t>
            </w:r>
          </w:p>
        </w:tc>
        <w:tc>
          <w:tcPr>
            <w:tcW w:w="7688"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工作要求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外围及周边道路</w:t>
            </w:r>
          </w:p>
        </w:tc>
        <w:tc>
          <w:tcPr>
            <w:tcW w:w="7688" w:type="dxa"/>
            <w:tcBorders>
              <w:tl2br w:val="nil"/>
              <w:tr2bl w:val="nil"/>
            </w:tcBorders>
            <w:vAlign w:val="center"/>
          </w:tcPr>
          <w:p>
            <w:pPr>
              <w:shd w:val="clear"/>
              <w:tabs>
                <w:tab w:val="left" w:pos="0"/>
              </w:tabs>
              <w:autoSpaceDE w:val="0"/>
              <w:autoSpaceDN w:val="0"/>
              <w:adjustRightInd w:val="0"/>
              <w:snapToGrid w:val="0"/>
              <w:rPr>
                <w:rFonts w:ascii="宋体" w:hAnsi="宋体" w:cs="宋体"/>
                <w:kern w:val="0"/>
                <w:szCs w:val="21"/>
                <w:highlight w:val="none"/>
              </w:rPr>
            </w:pPr>
            <w:r>
              <w:rPr>
                <w:rFonts w:hint="eastAsia" w:ascii="宋体" w:hAnsi="宋体" w:cs="宋体"/>
                <w:kern w:val="0"/>
                <w:szCs w:val="21"/>
                <w:highlight w:val="none"/>
              </w:rPr>
              <w:t>地面干净无杂物、无积水，无明显污迹、油渍；明沟、窨井内无杂物、无异味；标示标牌表面干净无积尘、无水印；路灯表面干净无污渍。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绿化带及水池</w:t>
            </w:r>
          </w:p>
        </w:tc>
        <w:tc>
          <w:tcPr>
            <w:tcW w:w="7688" w:type="dxa"/>
            <w:tcBorders>
              <w:tl2br w:val="nil"/>
              <w:tr2bl w:val="nil"/>
            </w:tcBorders>
            <w:vAlign w:val="center"/>
          </w:tcPr>
          <w:p>
            <w:pPr>
              <w:shd w:val="clear"/>
              <w:tabs>
                <w:tab w:val="left" w:pos="0"/>
              </w:tabs>
              <w:autoSpaceDE w:val="0"/>
              <w:autoSpaceDN w:val="0"/>
              <w:adjustRightInd w:val="0"/>
              <w:snapToGrid w:val="0"/>
              <w:rPr>
                <w:rFonts w:ascii="宋体" w:hAnsi="宋体" w:cs="宋体"/>
                <w:kern w:val="0"/>
                <w:szCs w:val="21"/>
                <w:highlight w:val="none"/>
              </w:rPr>
            </w:pPr>
            <w:r>
              <w:rPr>
                <w:rFonts w:hint="eastAsia" w:ascii="宋体" w:hAnsi="宋体" w:cs="宋体"/>
                <w:kern w:val="0"/>
                <w:szCs w:val="21"/>
                <w:highlight w:val="none"/>
              </w:rPr>
              <w:t>定期清除绿地杂草、杂物，花台表面干净无污渍，水池无异味。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大堂、走廊及楼道等楼内管理区域</w:t>
            </w:r>
          </w:p>
        </w:tc>
        <w:tc>
          <w:tcPr>
            <w:tcW w:w="7688" w:type="dxa"/>
            <w:tcBorders>
              <w:tl2br w:val="nil"/>
              <w:tr2bl w:val="nil"/>
            </w:tcBorders>
            <w:vAlign w:val="center"/>
          </w:tcPr>
          <w:p>
            <w:pPr>
              <w:shd w:val="clear"/>
              <w:tabs>
                <w:tab w:val="left" w:pos="0"/>
              </w:tabs>
              <w:autoSpaceDE w:val="0"/>
              <w:autoSpaceDN w:val="0"/>
              <w:adjustRightInd w:val="0"/>
              <w:snapToGrid w:val="0"/>
              <w:rPr>
                <w:rFonts w:ascii="宋体" w:hAnsi="宋体" w:cs="宋体"/>
                <w:kern w:val="0"/>
                <w:szCs w:val="21"/>
                <w:highlight w:val="none"/>
              </w:rPr>
            </w:pPr>
            <w:r>
              <w:rPr>
                <w:rFonts w:hint="eastAsia" w:ascii="宋体" w:hAnsi="宋体" w:cs="宋体"/>
                <w:kern w:val="0"/>
                <w:szCs w:val="21"/>
                <w:highlight w:val="none"/>
              </w:rPr>
              <w:t>地面干净、无污渍，有光泽，保持地面材质原貌；门框、窗框、窗台、金属件表面光亮、无灰尘、无污渍；门窗玻璃干净无尘，透光性好，无明显印迹；各种金属件表面干净，无污渍，有金属光泽门把手干净、无印迹、定时消毒；天花板干净，无污渍、无蛛网；进出口地垫摆放整齐，表面干净无杂物，盆栽植物无积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值班室</w:t>
            </w:r>
          </w:p>
        </w:tc>
        <w:tc>
          <w:tcPr>
            <w:tcW w:w="7688" w:type="dxa"/>
            <w:tcBorders>
              <w:tl2br w:val="nil"/>
              <w:tr2bl w:val="nil"/>
            </w:tcBorders>
            <w:vAlign w:val="center"/>
          </w:tcPr>
          <w:p>
            <w:pPr>
              <w:shd w:val="clear"/>
              <w:tabs>
                <w:tab w:val="left" w:pos="0"/>
              </w:tabs>
              <w:autoSpaceDE w:val="0"/>
              <w:autoSpaceDN w:val="0"/>
              <w:adjustRightInd w:val="0"/>
              <w:snapToGrid w:val="0"/>
              <w:rPr>
                <w:rFonts w:ascii="宋体" w:hAnsi="宋体" w:cs="宋体"/>
                <w:kern w:val="0"/>
                <w:szCs w:val="21"/>
                <w:highlight w:val="none"/>
              </w:rPr>
            </w:pPr>
            <w:r>
              <w:rPr>
                <w:rFonts w:hint="eastAsia" w:ascii="宋体" w:hAnsi="宋体" w:cs="宋体"/>
                <w:kern w:val="0"/>
                <w:szCs w:val="21"/>
                <w:highlight w:val="none"/>
              </w:rPr>
              <w:t>地面、墙面、干净，无灰尘、污渍；天花板、风口目视无灰尘、污渍；桌椅干净，物品摆放整齐、有序；文件柜无尘、无污垢。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楼梯及楼梯间</w:t>
            </w:r>
          </w:p>
        </w:tc>
        <w:tc>
          <w:tcPr>
            <w:tcW w:w="7688" w:type="dxa"/>
            <w:tcBorders>
              <w:tl2br w:val="nil"/>
              <w:tr2bl w:val="nil"/>
            </w:tcBorders>
            <w:vAlign w:val="center"/>
          </w:tcPr>
          <w:p>
            <w:pPr>
              <w:shd w:val="clear"/>
              <w:tabs>
                <w:tab w:val="left" w:pos="0"/>
              </w:tabs>
              <w:autoSpaceDE w:val="0"/>
              <w:autoSpaceDN w:val="0"/>
              <w:adjustRightInd w:val="0"/>
              <w:snapToGrid w:val="0"/>
              <w:rPr>
                <w:rFonts w:ascii="宋体" w:hAnsi="宋体" w:cs="宋体"/>
                <w:kern w:val="0"/>
                <w:szCs w:val="21"/>
                <w:highlight w:val="none"/>
              </w:rPr>
            </w:pPr>
            <w:r>
              <w:rPr>
                <w:rFonts w:hint="eastAsia" w:ascii="宋体" w:hAnsi="宋体" w:cs="宋体"/>
                <w:kern w:val="0"/>
                <w:szCs w:val="21"/>
                <w:highlight w:val="none"/>
              </w:rPr>
              <w:t>梯步表面干净无污渍，防滑条（缝）干净，扶手栏杆表面干净无灰尘，防火门及闭门器表面无污渍，墙面、天花板无积尘、蛛网。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公共卫生间</w:t>
            </w:r>
          </w:p>
        </w:tc>
        <w:tc>
          <w:tcPr>
            <w:tcW w:w="7688" w:type="dxa"/>
            <w:tcBorders>
              <w:tl2br w:val="nil"/>
              <w:tr2bl w:val="nil"/>
            </w:tcBorders>
            <w:vAlign w:val="center"/>
          </w:tcPr>
          <w:p>
            <w:pPr>
              <w:shd w:val="clear"/>
              <w:tabs>
                <w:tab w:val="left" w:pos="0"/>
              </w:tabs>
              <w:autoSpaceDE w:val="0"/>
              <w:autoSpaceDN w:val="0"/>
              <w:adjustRightInd w:val="0"/>
              <w:snapToGrid w:val="0"/>
              <w:rPr>
                <w:rFonts w:ascii="宋体" w:hAnsi="宋体" w:cs="宋体"/>
                <w:kern w:val="0"/>
                <w:szCs w:val="21"/>
                <w:highlight w:val="none"/>
              </w:rPr>
            </w:pPr>
            <w:r>
              <w:rPr>
                <w:rFonts w:hint="eastAsia" w:ascii="宋体" w:hAnsi="宋体" w:cs="宋体"/>
                <w:kern w:val="0"/>
                <w:szCs w:val="21"/>
                <w:highlight w:val="none"/>
              </w:rPr>
              <w:t>地面干净，无污渍、无积水，大小便器表面干净，无污渍，有光泽；各种隔断表面干净，无乱写乱画，金属饰件表面干净，无污迹，有金属光泽；墙壁表面干净，天花板无污渍、蛛网；风口或换气扇表面干净无积尘；门窗表面干净，窗台无灰尘；玻璃干净无水渍；洗手台干净无积水，面盆无污垢；各种物品摆放整齐规范；废纸篓杂物超过 2/3 应及时倾倒，卫生间内空气流通并且无明显异味。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电梯及电梯厅</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电梯轿厢四壁光洁明亮，操作面板无污迹、无灰尘、无印迹，地面干净，空气清新、无异味；电梯凹槽内无垃圾无杂物，按钮表面干净无印迹；电梯前厅内地面干净有光泽；轿厢四壁干净、无乱写乱贴广告。对园区内观光电梯外壁玻璃每年清洗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电器设施</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灯泡、灯管、灯罩无积尘、无污迹。装饰件无积尘、无污迹；开关、插座、配电箱无积尘、无明显污迹。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垃圾桶及果皮箱</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垃圾桶及果皮箱：按指定位置摆放，表面干净无污渍无痰迹，垃圾及时清倒，内胆应定期清洁、清毒。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设备机房、指示牌</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无卫生死角、无垃圾规程，无积尘、目视无蜘蛛网、无明显污渍、无水渍；指示牌、广告牌无灰尘、无污渍，金属件表面光亮，无痕迹。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平台、屋顶</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无垃圾堆积。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垃圾中转站</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地面无明显垃圾，垃圾日产日清。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园区水景</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水上无垃圾、落叶、水体清洁、无异味。做好湖水添加和排放的工作。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三圣河</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水上无垃圾、落叶。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建筑物外墙、</w:t>
            </w:r>
          </w:p>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玻璃幕墙</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园区所有建筑物外墙、玻璃幕墙每年清洗一次。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特别约定</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①在市/区开展城市考评或创文考察期间，需按照城市考评标准或创文标准落实保洁工作②发生重大传染病疫情期间（或疫情防控期间），电梯轿厢、各类门拉手、楼梯扶手、开关按钮、休闲桌椅、公共洗手间、垃圾房、垃圾桶、果皮箱等至少每日消毒4次（或按当地政府规定），并做好相关防疫措施及宣传工作。</w:t>
            </w:r>
          </w:p>
        </w:tc>
      </w:tr>
    </w:tbl>
    <w:p>
      <w:pPr>
        <w:numPr>
          <w:ilvl w:val="0"/>
          <w:numId w:val="23"/>
        </w:numPr>
        <w:shd w:val="clear"/>
        <w:adjustRightInd w:val="0"/>
        <w:snapToGrid w:val="0"/>
        <w:spacing w:line="360" w:lineRule="auto"/>
        <w:ind w:hanging="5"/>
        <w:rPr>
          <w:rFonts w:ascii="宋体" w:hAnsi="宋体" w:cs="宋体"/>
          <w:b/>
          <w:kern w:val="0"/>
          <w:szCs w:val="21"/>
          <w:highlight w:val="none"/>
        </w:rPr>
      </w:pPr>
      <w:r>
        <w:rPr>
          <w:rFonts w:hint="eastAsia" w:ascii="宋体" w:hAnsi="宋体" w:cs="宋体"/>
          <w:b/>
          <w:kern w:val="0"/>
          <w:szCs w:val="21"/>
          <w:highlight w:val="none"/>
        </w:rPr>
        <w:t>环境消杀</w:t>
      </w:r>
    </w:p>
    <w:p>
      <w:pPr>
        <w:numPr>
          <w:ilvl w:val="0"/>
          <w:numId w:val="27"/>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消杀工具设备摆放整齐、表面清洁、标识清晰，统一存放指定场所，对消杀药品的储存、领取与使用环节进行有效控制，按危险品管理，防止意外事故发生，使用符合国家相关规定的合格药品，消杀过程做好防护措施，投放与喷施消杀药品的场所须设置醒目的警示标识，必要时采取隔离措施，防止宠物、小孩误食；如涉及高空作业等风险较高的服务项目，资质证书（根据当地政策法规规定）、作业人员上岗证须在中标人物业管理服务中心备案，并签订协议，协议中明确约定作业安全、监控责任及为作业人员购买意外险等；</w:t>
      </w:r>
    </w:p>
    <w:p>
      <w:pPr>
        <w:numPr>
          <w:ilvl w:val="0"/>
          <w:numId w:val="27"/>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消杀人员持证上岗，通过专业消杀资质公司开展消杀工作；</w:t>
      </w:r>
    </w:p>
    <w:p>
      <w:pPr>
        <w:numPr>
          <w:ilvl w:val="0"/>
          <w:numId w:val="27"/>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消杀前（含绿化带），提前将计划在园区内公示，公示内容包括消杀时间、对象、范围、注意事项等。</w:t>
      </w:r>
    </w:p>
    <w:p>
      <w:pPr>
        <w:numPr>
          <w:ilvl w:val="0"/>
          <w:numId w:val="23"/>
        </w:numPr>
        <w:shd w:val="clear"/>
        <w:adjustRightInd w:val="0"/>
        <w:snapToGrid w:val="0"/>
        <w:spacing w:line="360" w:lineRule="auto"/>
        <w:ind w:hanging="5"/>
        <w:rPr>
          <w:rFonts w:ascii="宋体" w:hAnsi="宋体" w:cs="宋体"/>
          <w:b/>
          <w:kern w:val="0"/>
          <w:szCs w:val="21"/>
          <w:highlight w:val="none"/>
        </w:rPr>
      </w:pPr>
      <w:r>
        <w:rPr>
          <w:rFonts w:hint="eastAsia" w:ascii="宋体" w:hAnsi="宋体" w:cs="宋体"/>
          <w:b/>
          <w:kern w:val="0"/>
          <w:szCs w:val="21"/>
          <w:highlight w:val="none"/>
        </w:rPr>
        <w:t>垃圾清运</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生活垃圾专人负责，日产日清；对装修、维修产生的建筑垃圾应有专人负责清理；</w:t>
      </w:r>
    </w:p>
    <w:p>
      <w:pPr>
        <w:numPr>
          <w:ilvl w:val="0"/>
          <w:numId w:val="23"/>
        </w:numPr>
        <w:shd w:val="clear"/>
        <w:adjustRightInd w:val="0"/>
        <w:snapToGrid w:val="0"/>
        <w:spacing w:line="360" w:lineRule="auto"/>
        <w:ind w:hanging="5"/>
        <w:rPr>
          <w:rFonts w:ascii="宋体" w:hAnsi="宋体" w:cs="宋体"/>
          <w:b/>
          <w:kern w:val="0"/>
          <w:szCs w:val="21"/>
          <w:highlight w:val="none"/>
        </w:rPr>
      </w:pPr>
      <w:r>
        <w:rPr>
          <w:rFonts w:hint="eastAsia" w:ascii="宋体" w:hAnsi="宋体" w:cs="宋体"/>
          <w:b/>
          <w:kern w:val="0"/>
          <w:szCs w:val="21"/>
          <w:highlight w:val="none"/>
        </w:rPr>
        <w:t>保洁应急处理</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如出现自来水爆管、化粪池外溢、公共性疫情等情况，应启动相应的应急预案，全力配合有关部门，保障租户人身安全，减少财产损失。</w:t>
      </w:r>
    </w:p>
    <w:p>
      <w:pPr>
        <w:numPr>
          <w:ilvl w:val="0"/>
          <w:numId w:val="23"/>
        </w:numPr>
        <w:shd w:val="clear"/>
        <w:adjustRightInd w:val="0"/>
        <w:snapToGrid w:val="0"/>
        <w:spacing w:line="360" w:lineRule="auto"/>
        <w:ind w:hanging="5"/>
        <w:rPr>
          <w:rFonts w:ascii="宋体" w:hAnsi="宋体" w:cs="宋体"/>
          <w:b/>
          <w:kern w:val="0"/>
          <w:highlight w:val="none"/>
        </w:rPr>
      </w:pPr>
      <w:r>
        <w:rPr>
          <w:rFonts w:hint="eastAsia" w:ascii="宋体" w:hAnsi="宋体" w:cs="宋体"/>
          <w:b/>
          <w:kern w:val="0"/>
          <w:highlight w:val="none"/>
        </w:rPr>
        <w:t>除“四害”等</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ab/>
      </w:r>
      <w:r>
        <w:rPr>
          <w:rFonts w:hint="eastAsia" w:ascii="宋体" w:hAnsi="宋体" w:cs="宋体"/>
          <w:kern w:val="0"/>
          <w:szCs w:val="21"/>
          <w:highlight w:val="none"/>
        </w:rPr>
        <w:t>灭鼠、灭蟑螂（大蠊）、灭蝇、蚊蝇孳生地控制；夏季每月不少于2次，冬季每月不少于1次。灭蚊：每年不少于4次。以检查、防治白蚁为主，发现问题随时灭杀。在进场灭杀3个月后，经检查验收没有发现新的蚁路、蚁巢等蚊迹方为有效。园区内出现鼠患、白蚁情况的，由中标人负责采用有效合理方式予以灭杀，灭杀费用包含在管理费中，如因此导致室内设施损坏的，由中标人进行相应修复、赔偿。</w:t>
      </w:r>
    </w:p>
    <w:p>
      <w:pPr>
        <w:numPr>
          <w:ilvl w:val="0"/>
          <w:numId w:val="15"/>
        </w:numPr>
        <w:shd w:val="clear"/>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绿化养护服务</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负责园区内公用绿地、植物养护。按照花卉的种类，保证植物、花卉水分充足，湿度适中并适时整形修剪，保持花卉表面清洁无尘，枝叶茂盛，每月一次施肥和防虫。园区绿化垃圾及时清理。园区大堂、各服务区域、园区办公室、会议室、公共区域摆放植物及养护。</w:t>
      </w:r>
    </w:p>
    <w:p>
      <w:pPr>
        <w:numPr>
          <w:ilvl w:val="0"/>
          <w:numId w:val="28"/>
        </w:numPr>
        <w:shd w:val="clear"/>
        <w:adjustRightInd w:val="0"/>
        <w:snapToGrid w:val="0"/>
        <w:spacing w:line="360" w:lineRule="auto"/>
        <w:ind w:hanging="5"/>
        <w:rPr>
          <w:rFonts w:ascii="宋体" w:hAnsi="宋体" w:cs="宋体"/>
          <w:b/>
          <w:kern w:val="0"/>
          <w:szCs w:val="21"/>
          <w:highlight w:val="none"/>
        </w:rPr>
      </w:pPr>
      <w:r>
        <w:rPr>
          <w:rFonts w:hint="eastAsia" w:ascii="宋体" w:hAnsi="宋体" w:cs="宋体"/>
          <w:b/>
          <w:kern w:val="0"/>
          <w:szCs w:val="21"/>
          <w:highlight w:val="none"/>
        </w:rPr>
        <w:t>基础要求</w:t>
      </w:r>
    </w:p>
    <w:p>
      <w:pPr>
        <w:numPr>
          <w:ilvl w:val="0"/>
          <w:numId w:val="2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根据植物生长习性编制年度、月度养护计划并跟进实施，报园区审核备案；</w:t>
      </w:r>
    </w:p>
    <w:p>
      <w:pPr>
        <w:numPr>
          <w:ilvl w:val="0"/>
          <w:numId w:val="2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建立绿化改造管理流程，改变园林绿化原有设计、变更主要植物种类或数量、减少绿化面积的，改造前须取得园区批准同意；</w:t>
      </w:r>
    </w:p>
    <w:p>
      <w:pPr>
        <w:numPr>
          <w:ilvl w:val="0"/>
          <w:numId w:val="2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剪草、乔木修剪等作业不影响客户正常休息；</w:t>
      </w:r>
    </w:p>
    <w:p>
      <w:pPr>
        <w:numPr>
          <w:ilvl w:val="0"/>
          <w:numId w:val="2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至少每周对绿化养护情况进行1次检查并记录；</w:t>
      </w:r>
    </w:p>
    <w:p>
      <w:pPr>
        <w:numPr>
          <w:ilvl w:val="0"/>
          <w:numId w:val="2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进行机械作业时，作业人员须佩戴好防护用品，有现场作业标识。绿化异常区应有“修剪养护期”等提示性标识；</w:t>
      </w:r>
    </w:p>
    <w:p>
      <w:pPr>
        <w:numPr>
          <w:ilvl w:val="0"/>
          <w:numId w:val="2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补植苗木（因中标人管理疏忽导致园区内植物枯萎的，苗木补种费用由中标人承担）。</w:t>
      </w:r>
    </w:p>
    <w:p>
      <w:pPr>
        <w:numPr>
          <w:ilvl w:val="0"/>
          <w:numId w:val="28"/>
        </w:numPr>
        <w:shd w:val="clear"/>
        <w:adjustRightInd w:val="0"/>
        <w:snapToGrid w:val="0"/>
        <w:spacing w:line="360" w:lineRule="auto"/>
        <w:ind w:hanging="5"/>
        <w:rPr>
          <w:rFonts w:ascii="宋体" w:hAnsi="宋体" w:cs="宋体"/>
          <w:b/>
          <w:kern w:val="0"/>
          <w:szCs w:val="21"/>
          <w:highlight w:val="none"/>
        </w:rPr>
      </w:pPr>
      <w:r>
        <w:rPr>
          <w:rFonts w:hint="eastAsia" w:ascii="宋体" w:hAnsi="宋体" w:cs="宋体"/>
          <w:b/>
          <w:kern w:val="0"/>
          <w:szCs w:val="21"/>
          <w:highlight w:val="none"/>
        </w:rPr>
        <w:t>养护频次与要求</w:t>
      </w:r>
    </w:p>
    <w:p>
      <w:pPr>
        <w:numPr>
          <w:ilvl w:val="0"/>
          <w:numId w:val="3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乔木修剪至少1次/年，灌木、草坪生长季节每月修剪1次或根据实际情况确定修剪频次；</w:t>
      </w:r>
    </w:p>
    <w:p>
      <w:pPr>
        <w:numPr>
          <w:ilvl w:val="0"/>
          <w:numId w:val="3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造型植物依据实际情况确定修剪频次；</w:t>
      </w:r>
    </w:p>
    <w:p>
      <w:pPr>
        <w:numPr>
          <w:ilvl w:val="0"/>
          <w:numId w:val="3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花坛植物生长季节至少每季度松土1次或根据实际情况确定频次；</w:t>
      </w:r>
    </w:p>
    <w:p>
      <w:pPr>
        <w:numPr>
          <w:ilvl w:val="0"/>
          <w:numId w:val="3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根据实际情况适时浇水、施肥每月1次、除杂草每月2次；</w:t>
      </w:r>
    </w:p>
    <w:p>
      <w:pPr>
        <w:numPr>
          <w:ilvl w:val="0"/>
          <w:numId w:val="3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针对不同的品种和季节进行病虫害防治，每月至少1次；</w:t>
      </w:r>
    </w:p>
    <w:p>
      <w:pPr>
        <w:numPr>
          <w:ilvl w:val="0"/>
          <w:numId w:val="3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做好防涝、防冻、防台风。</w:t>
      </w:r>
    </w:p>
    <w:p>
      <w:pPr>
        <w:numPr>
          <w:ilvl w:val="0"/>
          <w:numId w:val="28"/>
        </w:numPr>
        <w:shd w:val="clear"/>
        <w:adjustRightInd w:val="0"/>
        <w:snapToGrid w:val="0"/>
        <w:spacing w:line="360" w:lineRule="auto"/>
        <w:ind w:hanging="5"/>
        <w:rPr>
          <w:rFonts w:ascii="宋体" w:hAnsi="宋体" w:cs="宋体"/>
          <w:b/>
          <w:kern w:val="0"/>
          <w:szCs w:val="21"/>
          <w:highlight w:val="none"/>
        </w:rPr>
      </w:pPr>
      <w:r>
        <w:rPr>
          <w:rFonts w:hint="eastAsia" w:ascii="宋体" w:hAnsi="宋体" w:cs="宋体"/>
          <w:b/>
          <w:kern w:val="0"/>
          <w:szCs w:val="21"/>
          <w:highlight w:val="none"/>
        </w:rPr>
        <w:t>养护标准</w:t>
      </w:r>
    </w:p>
    <w:p>
      <w:pPr>
        <w:numPr>
          <w:ilvl w:val="0"/>
          <w:numId w:val="3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绿化养护应达到绿地及花坛内各种植物存活率98%。绿地设施及硬质景观完好无损。植物群落完整，层次丰富，黄土不外露，有整体的观赏效果。植物季相分明，生长茂盛；</w:t>
      </w:r>
    </w:p>
    <w:p>
      <w:pPr>
        <w:numPr>
          <w:ilvl w:val="0"/>
          <w:numId w:val="3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保持土壤适度湿润，原则上“不干不浇，浇则浇透”；浇灌中流出的余水及时清理；</w:t>
      </w:r>
    </w:p>
    <w:p>
      <w:pPr>
        <w:numPr>
          <w:ilvl w:val="0"/>
          <w:numId w:val="3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草坪保持平整，高度不超过5厘米，草屑及时清理；乔木修剪科学合理，剪口光滑整齐，树冠完整美观，无徒长枝、下垂枝、枯枝，内膛不乱，通风透光，绿篱修剪整齐有型，保持观赏面枝叶丰满。花灌木花后修剪及时，无残花；</w:t>
      </w:r>
    </w:p>
    <w:p>
      <w:pPr>
        <w:numPr>
          <w:ilvl w:val="0"/>
          <w:numId w:val="3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绿地内立视应无明显杂草，土壤疏松通透；</w:t>
      </w:r>
    </w:p>
    <w:p>
      <w:pPr>
        <w:numPr>
          <w:ilvl w:val="0"/>
          <w:numId w:val="3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按植物品种、生长速度、土壤状况，适时适量施无机肥；</w:t>
      </w:r>
    </w:p>
    <w:p>
      <w:pPr>
        <w:numPr>
          <w:ilvl w:val="0"/>
          <w:numId w:val="3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预防为主，生态治理。草皮无病斑，植物枝叶无虫害咬口、排泄物、无悬挂或领队在植物上的虫茧、休眠虫体及越冬虫蛹；</w:t>
      </w:r>
    </w:p>
    <w:p>
      <w:pPr>
        <w:numPr>
          <w:ilvl w:val="0"/>
          <w:numId w:val="3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绿地内无垃圾，乔木无树挂；</w:t>
      </w:r>
    </w:p>
    <w:p>
      <w:pPr>
        <w:numPr>
          <w:ilvl w:val="0"/>
          <w:numId w:val="3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园区公共服务区域（四座路演厅、八座[报告厅、会议室、展厅及走廊通道等]、园区部分公共服务区域）绿植摆放总数量不低于以下标准及数量：1.5-2.0 米植物不少于50盆；1 米左右植物不少于30盆。</w:t>
      </w:r>
    </w:p>
    <w:p>
      <w:pPr>
        <w:numPr>
          <w:ilvl w:val="0"/>
          <w:numId w:val="28"/>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在市/区开展城市考评或创文考察期间，需按照城市考评标准或创文标准落实绿化养护工作。</w:t>
      </w:r>
    </w:p>
    <w:p>
      <w:pPr>
        <w:numPr>
          <w:ilvl w:val="0"/>
          <w:numId w:val="15"/>
        </w:numPr>
        <w:shd w:val="clear"/>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费用催缴及代收服务</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ab/>
      </w:r>
      <w:r>
        <w:rPr>
          <w:rFonts w:hint="eastAsia" w:ascii="宋体" w:hAnsi="宋体" w:cs="宋体"/>
          <w:kern w:val="0"/>
          <w:szCs w:val="21"/>
          <w:highlight w:val="none"/>
        </w:rPr>
        <w:t>负责对园区企业客户费用进行催缴工作。</w:t>
      </w:r>
    </w:p>
    <w:p>
      <w:pPr>
        <w:numPr>
          <w:ilvl w:val="0"/>
          <w:numId w:val="3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根据招标人的管理要求，每月对入驻企业客户的租金、物业管理费、水电费进行催缴并建立台账及催缴相关记录备档，每月至少一次向招标人书面报送租户欠缴费用的信息。经招标人书面同意，对严重欠费企业采取有关限制措施；</w:t>
      </w:r>
    </w:p>
    <w:p>
      <w:pPr>
        <w:numPr>
          <w:ilvl w:val="0"/>
          <w:numId w:val="3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严格按照规定的收费标准。</w:t>
      </w:r>
    </w:p>
    <w:p>
      <w:pPr>
        <w:numPr>
          <w:ilvl w:val="0"/>
          <w:numId w:val="15"/>
        </w:numPr>
        <w:shd w:val="clear"/>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园区服务</w:t>
      </w:r>
    </w:p>
    <w:p>
      <w:pPr>
        <w:numPr>
          <w:ilvl w:val="0"/>
          <w:numId w:val="33"/>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负责协助园区定期（季度）/或不定期宣传栏更换喷画内容、张挂宣传条幅布置维护等；协助处理园区公共关系、宣传栏的布置、后勤服务指南的制作和派发；协助开展园区文化娱乐活动；开办宣传橱窗、设立宣传栏、开展丰富多彩的活动；</w:t>
      </w:r>
    </w:p>
    <w:p>
      <w:pPr>
        <w:numPr>
          <w:ilvl w:val="0"/>
          <w:numId w:val="33"/>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负责物业管理和后勤服务工作的宣传；</w:t>
      </w:r>
    </w:p>
    <w:p>
      <w:pPr>
        <w:numPr>
          <w:ilvl w:val="0"/>
          <w:numId w:val="33"/>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负责配合有关庆典、仪式、会议、参观的安排接待。投标时提供5分钟内</w:t>
      </w:r>
      <w:r>
        <w:rPr>
          <w:rFonts w:hint="eastAsia" w:hAnsi="宋体" w:cs="宋体"/>
          <w:kern w:val="0"/>
          <w:szCs w:val="21"/>
          <w:highlight w:val="none"/>
        </w:rPr>
        <w:t>的相关接待服务视频，</w:t>
      </w:r>
      <w:r>
        <w:rPr>
          <w:rFonts w:hint="eastAsia" w:cs="宋体"/>
          <w:highlight w:val="none"/>
        </w:rPr>
        <w:t>作为对“</w:t>
      </w:r>
      <w:r>
        <w:rPr>
          <w:rFonts w:hint="eastAsia" w:ascii="宋体" w:hAnsi="宋体" w:cs="宋体"/>
          <w:kern w:val="0"/>
          <w:szCs w:val="21"/>
          <w:highlight w:val="none"/>
        </w:rPr>
        <w:t>专项接待管理方案</w:t>
      </w:r>
      <w:r>
        <w:rPr>
          <w:rFonts w:hint="eastAsia" w:cs="宋体"/>
          <w:highlight w:val="none"/>
        </w:rPr>
        <w:t>”证明材料，</w:t>
      </w:r>
      <w:r>
        <w:rPr>
          <w:rFonts w:hint="eastAsia" w:ascii="宋体" w:hAnsi="宋体" w:cs="宋体"/>
          <w:kern w:val="0"/>
          <w:szCs w:val="21"/>
          <w:highlight w:val="none"/>
        </w:rPr>
        <w:t>视频电子文档随投标文件一并密封提交。</w:t>
      </w:r>
    </w:p>
    <w:p>
      <w:pPr>
        <w:numPr>
          <w:ilvl w:val="0"/>
          <w:numId w:val="33"/>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负责园区活动场地包括但不限于会议室、报告厅、路演厅的布置、整理、打扫，物料搬运、摆放，会议设备调试，参会人员的指引、会场的安保，会议内部服务，会务应急管理及突发事件处理工作，配备专职会务接待人员负责会务相关工作。</w:t>
      </w:r>
    </w:p>
    <w:p>
      <w:pPr>
        <w:numPr>
          <w:ilvl w:val="0"/>
          <w:numId w:val="15"/>
        </w:numPr>
        <w:shd w:val="clear"/>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物业管理咨询服务</w:t>
      </w:r>
    </w:p>
    <w:p>
      <w:pPr>
        <w:shd w:val="clear"/>
        <w:adjustRightInd w:val="0"/>
        <w:snapToGrid w:val="0"/>
        <w:spacing w:line="360" w:lineRule="auto"/>
        <w:ind w:left="420" w:firstLine="420" w:firstLineChars="200"/>
        <w:rPr>
          <w:rFonts w:ascii="宋体" w:hAnsi="宋体" w:cs="宋体"/>
          <w:kern w:val="0"/>
          <w:szCs w:val="21"/>
          <w:highlight w:val="none"/>
        </w:rPr>
      </w:pPr>
      <w:r>
        <w:rPr>
          <w:rFonts w:hint="eastAsia" w:ascii="宋体" w:hAnsi="宋体" w:cs="宋体"/>
          <w:kern w:val="0"/>
          <w:szCs w:val="21"/>
          <w:highlight w:val="none"/>
        </w:rPr>
        <w:t>根据物业管理专业领域积累的管理经验，为招标人提供千灯湖创投特色小镇核心区（二期）建设期间的咨询服务：</w:t>
      </w:r>
    </w:p>
    <w:p>
      <w:pPr>
        <w:numPr>
          <w:ilvl w:val="0"/>
          <w:numId w:val="34"/>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为项目建设期间的交通路线规划、安全管理、物业管理提供合理化建议；</w:t>
      </w:r>
    </w:p>
    <w:p>
      <w:pPr>
        <w:numPr>
          <w:ilvl w:val="0"/>
          <w:numId w:val="34"/>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针对项目方案设计，及时发现及提出对后期物业管理服务不利的相关问题，为完善物业建设提出建设性意见；</w:t>
      </w:r>
    </w:p>
    <w:p>
      <w:pPr>
        <w:numPr>
          <w:ilvl w:val="0"/>
          <w:numId w:val="34"/>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定期参加招标人及有关单位召开的专题会议，提供物业专业意见；</w:t>
      </w:r>
    </w:p>
    <w:p>
      <w:pPr>
        <w:numPr>
          <w:ilvl w:val="0"/>
          <w:numId w:val="34"/>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提出项目建设期间物业管理保障方案及客户沟通方案，减少施工期间对入驻租户产生的不利影响。</w:t>
      </w:r>
    </w:p>
    <w:p>
      <w:pPr>
        <w:shd w:val="clear"/>
        <w:adjustRightInd w:val="0"/>
        <w:snapToGrid w:val="0"/>
        <w:spacing w:line="360" w:lineRule="auto"/>
        <w:ind w:left="420"/>
        <w:rPr>
          <w:rFonts w:ascii="宋体" w:hAnsi="宋体" w:cs="宋体"/>
          <w:kern w:val="0"/>
          <w:szCs w:val="21"/>
          <w:highlight w:val="none"/>
        </w:rPr>
      </w:pPr>
      <w:r>
        <w:rPr>
          <w:rFonts w:hint="eastAsia" w:ascii="宋体" w:hAnsi="宋体" w:cs="宋体"/>
          <w:kern w:val="0"/>
          <w:szCs w:val="21"/>
          <w:highlight w:val="none"/>
        </w:rPr>
        <w:t>备注：所有建议需以报告或建议书书面提出。</w:t>
      </w:r>
    </w:p>
    <w:p>
      <w:pPr>
        <w:numPr>
          <w:ilvl w:val="0"/>
          <w:numId w:val="15"/>
        </w:numPr>
        <w:shd w:val="clear"/>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其他事项</w:t>
      </w:r>
    </w:p>
    <w:p>
      <w:pPr>
        <w:numPr>
          <w:ilvl w:val="0"/>
          <w:numId w:val="3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配合园区要求完成以下工作：</w:t>
      </w:r>
    </w:p>
    <w:p>
      <w:pPr>
        <w:numPr>
          <w:ilvl w:val="0"/>
          <w:numId w:val="3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定期抄录园区租户用水用电，建立园区能耗管理台账，包括但不限于每月的能耗表，配合实现园区的数据化管理；</w:t>
      </w:r>
    </w:p>
    <w:p>
      <w:pPr>
        <w:numPr>
          <w:ilvl w:val="0"/>
          <w:numId w:val="3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配合招标人收缴园区租户租金、物业费、水电费；</w:t>
      </w:r>
    </w:p>
    <w:p>
      <w:pPr>
        <w:numPr>
          <w:ilvl w:val="0"/>
          <w:numId w:val="3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配合招标人开展入驻企业清理等物业管理工作；</w:t>
      </w:r>
    </w:p>
    <w:p>
      <w:pPr>
        <w:numPr>
          <w:ilvl w:val="0"/>
          <w:numId w:val="3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向园区企业派发各宣传资料及通知文件等资料，并做好签收记录。</w:t>
      </w:r>
    </w:p>
    <w:p>
      <w:pPr>
        <w:numPr>
          <w:ilvl w:val="0"/>
          <w:numId w:val="3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按要求做好防范各类传染病（非典、登革热及类似疫情）的防疫及应急工作。</w:t>
      </w:r>
    </w:p>
    <w:p>
      <w:pPr>
        <w:numPr>
          <w:ilvl w:val="0"/>
          <w:numId w:val="3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负责防范自然灾害（台风、洪水）等应急工作，配置必要人员值班。</w:t>
      </w:r>
    </w:p>
    <w:p>
      <w:pPr>
        <w:numPr>
          <w:ilvl w:val="0"/>
          <w:numId w:val="3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负责物管服务项目其它相关工作及园区提出的其他管理工作、任务和要求。</w:t>
      </w:r>
    </w:p>
    <w:p>
      <w:pPr>
        <w:numPr>
          <w:ilvl w:val="0"/>
          <w:numId w:val="3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如向园区租户提供有偿服务须经招标人同意，并将收费标准报招标人备案。</w:t>
      </w:r>
    </w:p>
    <w:p>
      <w:pPr>
        <w:numPr>
          <w:ilvl w:val="0"/>
          <w:numId w:val="3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配合招标人建立安全生产管理机制，配备专业（兼）安全管理人员（安全专员），协助建立安全生产记录和台账。</w:t>
      </w:r>
    </w:p>
    <w:p>
      <w:pPr>
        <w:numPr>
          <w:ilvl w:val="0"/>
          <w:numId w:val="3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建立全员培训制度和全员培训档案，每季度开展安全培训。</w:t>
      </w:r>
    </w:p>
    <w:p>
      <w:pPr>
        <w:numPr>
          <w:ilvl w:val="0"/>
          <w:numId w:val="3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开展职业卫生培训，定期开展作业场所职业病危害因素监测和评价。</w:t>
      </w:r>
    </w:p>
    <w:p>
      <w:pPr>
        <w:numPr>
          <w:ilvl w:val="0"/>
          <w:numId w:val="13"/>
        </w:numPr>
        <w:shd w:val="clear"/>
        <w:adjustRightInd w:val="0"/>
        <w:snapToGrid w:val="0"/>
        <w:spacing w:line="360" w:lineRule="auto"/>
        <w:ind w:left="1109" w:hanging="689"/>
        <w:rPr>
          <w:rFonts w:ascii="宋体" w:hAnsi="宋体" w:cs="宋体"/>
          <w:b/>
          <w:kern w:val="0"/>
          <w:szCs w:val="21"/>
          <w:highlight w:val="none"/>
        </w:rPr>
      </w:pPr>
      <w:r>
        <w:rPr>
          <w:rFonts w:hint="eastAsia" w:ascii="宋体" w:hAnsi="宋体" w:cs="宋体"/>
          <w:b/>
          <w:kern w:val="0"/>
          <w:szCs w:val="21"/>
          <w:highlight w:val="none"/>
        </w:rPr>
        <w:t>人员要求</w:t>
      </w:r>
    </w:p>
    <w:p>
      <w:pPr>
        <w:numPr>
          <w:ilvl w:val="0"/>
          <w:numId w:val="3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lang w:val="en-US" w:eastAsia="zh-CN"/>
        </w:rPr>
        <w:t>中标</w:t>
      </w:r>
      <w:r>
        <w:rPr>
          <w:rFonts w:hint="eastAsia" w:ascii="宋体" w:hAnsi="宋体" w:cs="宋体"/>
          <w:kern w:val="0"/>
          <w:szCs w:val="21"/>
          <w:highlight w:val="none"/>
        </w:rPr>
        <w:t>人日常管理须配置人数不少于39人的服务团队</w:t>
      </w:r>
      <w:r>
        <w:rPr>
          <w:rFonts w:hint="eastAsia" w:ascii="宋体" w:hAnsi="宋体" w:cs="宋体"/>
          <w:kern w:val="0"/>
          <w:szCs w:val="21"/>
          <w:highlight w:val="none"/>
          <w:lang w:eastAsia="zh-CN"/>
        </w:rPr>
        <w:t>【</w:t>
      </w:r>
      <w:r>
        <w:rPr>
          <w:rFonts w:hint="eastAsia" w:ascii="宋体" w:hAnsi="宋体" w:cs="宋体"/>
          <w:kern w:val="0"/>
          <w:szCs w:val="21"/>
          <w:highlight w:val="none"/>
        </w:rPr>
        <w:t>其中</w:t>
      </w:r>
      <w:r>
        <w:rPr>
          <w:rFonts w:hint="eastAsia" w:ascii="宋体" w:hAnsi="宋体" w:cs="宋体"/>
          <w:kern w:val="0"/>
          <w:szCs w:val="21"/>
          <w:highlight w:val="none"/>
          <w:lang w:val="en-US" w:eastAsia="zh-CN"/>
        </w:rPr>
        <w:t>项目经</w:t>
      </w:r>
      <w:r>
        <w:rPr>
          <w:rFonts w:hint="eastAsia" w:ascii="宋体" w:hAnsi="宋体" w:cs="宋体"/>
          <w:kern w:val="0"/>
          <w:szCs w:val="21"/>
          <w:highlight w:val="none"/>
        </w:rPr>
        <w:t>理1人，安保人员不少于14人，工程技术人员不少于3人、客服不少于4人（其中会务接待客服人员不少于2人</w:t>
      </w:r>
      <w:r>
        <w:rPr>
          <w:rFonts w:hint="eastAsia"/>
          <w:highlight w:val="none"/>
        </w:rPr>
        <w:t>），保洁不少于15人、人事、出纳及运营不少于2人</w:t>
      </w:r>
      <w:r>
        <w:rPr>
          <w:rFonts w:hint="eastAsia" w:ascii="宋体" w:hAnsi="宋体" w:cs="宋体"/>
          <w:kern w:val="0"/>
          <w:szCs w:val="21"/>
          <w:highlight w:val="none"/>
          <w:lang w:eastAsia="zh-CN"/>
        </w:rPr>
        <w:t>】</w:t>
      </w:r>
      <w:r>
        <w:rPr>
          <w:rFonts w:hint="eastAsia" w:ascii="宋体" w:hAnsi="宋体" w:cs="宋体"/>
          <w:kern w:val="0"/>
          <w:szCs w:val="21"/>
          <w:highlight w:val="none"/>
        </w:rPr>
        <w:t>。</w:t>
      </w:r>
    </w:p>
    <w:p>
      <w:pPr>
        <w:numPr>
          <w:ilvl w:val="0"/>
          <w:numId w:val="3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中标人可根据实际需求对岗位提出调整设定，报招标人同意后方可实施，但总人数不得少于上述要求。中标人增加岗位人员不作限制，但招标人不会因中标人增加岗位人员数量，而对服务收费标准作出调整，如未经招标人同意擅自减少岗位编制且未在招标人要求整改的限期内补足的，除对当月物业考核进行扣分外，招标人有权额外扣减中标人的月度物业服务费用(每缺1人扣除当月物业服务费用的3%），直至中标人完成整改为止，中标人不得有任何异议。</w:t>
      </w:r>
    </w:p>
    <w:p>
      <w:pPr>
        <w:numPr>
          <w:ilvl w:val="0"/>
          <w:numId w:val="3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签订合同后，中标人需在10个日历天内向招标人提供拟派驻本项目主要人员（项目经理、主管）的简历及相关职业资格证明、证书等招标人认为与本项目服务内容相关的资格材料，如招标人认为主要人员未能满足本项目需要的，可要求中标人进行更换，中标人需无条件配合。服务期间，中标人主要人员变更前需征得招标人同意，且更换的人员资格不得低于原有人员，项目经理须为中标人在编人员，</w:t>
      </w:r>
      <w:r>
        <w:rPr>
          <w:rFonts w:hint="eastAsia" w:ascii="宋体" w:hAnsi="宋体" w:cs="宋体"/>
          <w:kern w:val="0"/>
          <w:szCs w:val="21"/>
          <w:highlight w:val="none"/>
          <w:lang w:val="en-US" w:eastAsia="zh-CN"/>
        </w:rPr>
        <w:t>核心岗位</w:t>
      </w:r>
      <w:r>
        <w:rPr>
          <w:rFonts w:hint="eastAsia" w:ascii="宋体" w:hAnsi="宋体" w:cs="宋体"/>
          <w:kern w:val="0"/>
          <w:szCs w:val="21"/>
          <w:highlight w:val="none"/>
        </w:rPr>
        <w:t>人员休假须向招标人报备；</w:t>
      </w:r>
    </w:p>
    <w:p>
      <w:pPr>
        <w:numPr>
          <w:ilvl w:val="0"/>
          <w:numId w:val="3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如招标人认为中标人派驻的人员不符合项目、合同要求的，招标人有权要求中标人在合理期限内无条件更换，中标人逾期更换的，视为该岗位缺岗，中标人应承担相应的违约责任。</w:t>
      </w:r>
    </w:p>
    <w:p>
      <w:pPr>
        <w:numPr>
          <w:ilvl w:val="0"/>
          <w:numId w:val="3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中标人对所聘用人员严格审核，保证聘用人员无违法或犯罪记录、有相应岗位的上岗资格证，并按照劳动法和相关法律规定进行聘用和管理，工作期间遵守规章制度；</w:t>
      </w:r>
    </w:p>
    <w:p>
      <w:pPr>
        <w:numPr>
          <w:ilvl w:val="0"/>
          <w:numId w:val="3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服务人员必须按照要求穿着统一整齐的工作服，统一佩戴标志，行为规范，服务主动、热情；工作服务不符合要求的，招标人有权要求做出调整，中标人应无条件配合；</w:t>
      </w:r>
    </w:p>
    <w:p>
      <w:pPr>
        <w:numPr>
          <w:ilvl w:val="0"/>
          <w:numId w:val="3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中标人必须按法律、法规及有关政策规定为其服务人员购买社会保险，所聘人员的管理必须执行国家劳动法的相关规定；</w:t>
      </w:r>
    </w:p>
    <w:p>
      <w:pPr>
        <w:numPr>
          <w:ilvl w:val="0"/>
          <w:numId w:val="3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中标人配备的所有人员的衣（工作服）、食、住、行等工作生活所需，由中标人自行解决并承担相关费用；</w:t>
      </w:r>
    </w:p>
    <w:p>
      <w:pPr>
        <w:numPr>
          <w:ilvl w:val="0"/>
          <w:numId w:val="3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具体岗位及要求</w:t>
      </w:r>
    </w:p>
    <w:p>
      <w:p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核心岗位要求如下：</w:t>
      </w:r>
    </w:p>
    <w:p>
      <w:pPr>
        <w:numPr>
          <w:ilvl w:val="0"/>
          <w:numId w:val="38"/>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项目经理</w:t>
      </w:r>
      <w:r>
        <w:rPr>
          <w:rFonts w:hint="eastAsia" w:ascii="宋体" w:hAnsi="宋体" w:cs="宋体"/>
          <w:szCs w:val="21"/>
          <w:highlight w:val="none"/>
        </w:rPr>
        <w:t>（1名）</w:t>
      </w:r>
    </w:p>
    <w:p>
      <w:pPr>
        <w:numPr>
          <w:ilvl w:val="0"/>
          <w:numId w:val="39"/>
        </w:numPr>
        <w:shd w:val="clear"/>
        <w:adjustRightInd w:val="0"/>
        <w:snapToGrid w:val="0"/>
        <w:spacing w:line="360" w:lineRule="auto"/>
        <w:ind w:left="420" w:leftChars="200"/>
        <w:rPr>
          <w:rFonts w:ascii="宋体" w:hAnsi="宋体" w:cs="宋体"/>
          <w:szCs w:val="21"/>
          <w:highlight w:val="none"/>
        </w:rPr>
      </w:pPr>
      <w:r>
        <w:rPr>
          <w:rFonts w:hint="eastAsia" w:ascii="宋体" w:hAnsi="宋体" w:cs="宋体"/>
          <w:szCs w:val="21"/>
          <w:highlight w:val="none"/>
        </w:rPr>
        <w:t>具有本科（或以上）学历，5年以上高端写字楼或商业综合体物业管理服务经验，需在中标人处工作1年以上；</w:t>
      </w:r>
    </w:p>
    <w:p>
      <w:pPr>
        <w:numPr>
          <w:ilvl w:val="0"/>
          <w:numId w:val="39"/>
        </w:numPr>
        <w:shd w:val="clear"/>
        <w:adjustRightInd w:val="0"/>
        <w:snapToGrid w:val="0"/>
        <w:spacing w:line="360" w:lineRule="auto"/>
        <w:ind w:left="420" w:leftChars="200"/>
        <w:rPr>
          <w:rFonts w:ascii="宋体" w:hAnsi="宋体" w:cs="宋体"/>
          <w:szCs w:val="21"/>
          <w:highlight w:val="none"/>
        </w:rPr>
      </w:pPr>
      <w:r>
        <w:rPr>
          <w:rFonts w:hint="eastAsia" w:ascii="宋体" w:hAnsi="宋体" w:cs="宋体"/>
          <w:szCs w:val="21"/>
          <w:highlight w:val="none"/>
          <w:shd w:val="clear" w:color="auto" w:fill="FFFFFF"/>
        </w:rPr>
        <w:t>熟悉物业管理相关法律法规、相关的工作流程、内容和技术要求，具备物业全盘管理经验</w:t>
      </w:r>
      <w:r>
        <w:rPr>
          <w:rFonts w:hint="eastAsia" w:ascii="宋体" w:hAnsi="宋体" w:cs="宋体"/>
          <w:szCs w:val="21"/>
          <w:highlight w:val="none"/>
        </w:rPr>
        <w:t>；</w:t>
      </w:r>
    </w:p>
    <w:p>
      <w:pPr>
        <w:numPr>
          <w:ilvl w:val="0"/>
          <w:numId w:val="39"/>
        </w:numPr>
        <w:shd w:val="clear"/>
        <w:adjustRightInd w:val="0"/>
        <w:snapToGrid w:val="0"/>
        <w:spacing w:line="360" w:lineRule="auto"/>
        <w:ind w:left="420" w:leftChars="200"/>
        <w:rPr>
          <w:rFonts w:ascii="宋体" w:hAnsi="宋体" w:cs="宋体"/>
          <w:szCs w:val="21"/>
          <w:highlight w:val="none"/>
        </w:rPr>
      </w:pPr>
      <w:r>
        <w:rPr>
          <w:rFonts w:hint="eastAsia" w:ascii="宋体" w:hAnsi="宋体" w:cs="宋体"/>
          <w:szCs w:val="21"/>
          <w:highlight w:val="none"/>
        </w:rPr>
        <w:t>在物业服务品质保障、园区维护管理方面具丰富实践经验；</w:t>
      </w:r>
    </w:p>
    <w:p>
      <w:pPr>
        <w:numPr>
          <w:ilvl w:val="0"/>
          <w:numId w:val="39"/>
        </w:numPr>
        <w:shd w:val="clear"/>
        <w:adjustRightInd w:val="0"/>
        <w:snapToGrid w:val="0"/>
        <w:spacing w:line="360" w:lineRule="auto"/>
        <w:ind w:left="420" w:leftChars="200"/>
        <w:rPr>
          <w:rFonts w:ascii="宋体" w:hAnsi="宋体" w:cs="宋体"/>
          <w:szCs w:val="21"/>
          <w:highlight w:val="none"/>
        </w:rPr>
      </w:pPr>
      <w:r>
        <w:rPr>
          <w:rFonts w:hint="eastAsia" w:ascii="宋体" w:hAnsi="宋体" w:cs="宋体"/>
          <w:szCs w:val="21"/>
          <w:highlight w:val="none"/>
          <w:shd w:val="clear" w:color="auto" w:fill="FFFFFF"/>
        </w:rPr>
        <w:t>具备良好的沟通协调能力和团队管理能力，服务意识强、执行力强</w:t>
      </w:r>
      <w:r>
        <w:rPr>
          <w:rFonts w:hint="eastAsia" w:ascii="宋体" w:hAnsi="宋体" w:cs="宋体"/>
          <w:szCs w:val="21"/>
          <w:highlight w:val="none"/>
        </w:rPr>
        <w:t>。</w:t>
      </w:r>
    </w:p>
    <w:p>
      <w:pPr>
        <w:numPr>
          <w:ilvl w:val="0"/>
          <w:numId w:val="38"/>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安保负责人</w:t>
      </w:r>
      <w:r>
        <w:rPr>
          <w:rFonts w:hint="eastAsia" w:ascii="宋体" w:hAnsi="宋体" w:cs="宋体"/>
          <w:szCs w:val="21"/>
          <w:highlight w:val="none"/>
        </w:rPr>
        <w:t>（1名）</w:t>
      </w:r>
    </w:p>
    <w:p>
      <w:pPr>
        <w:numPr>
          <w:ilvl w:val="0"/>
          <w:numId w:val="40"/>
        </w:numPr>
        <w:shd w:val="clear"/>
        <w:adjustRightInd w:val="0"/>
        <w:snapToGrid w:val="0"/>
        <w:spacing w:line="360" w:lineRule="auto"/>
        <w:ind w:left="420" w:leftChars="200"/>
        <w:rPr>
          <w:rFonts w:ascii="宋体" w:hAnsi="宋体" w:cs="宋体"/>
          <w:szCs w:val="21"/>
          <w:highlight w:val="none"/>
        </w:rPr>
      </w:pPr>
      <w:r>
        <w:rPr>
          <w:rFonts w:hint="eastAsia" w:ascii="宋体" w:hAnsi="宋体" w:cs="宋体"/>
          <w:szCs w:val="21"/>
          <w:highlight w:val="none"/>
        </w:rPr>
        <w:t>具有大专（或以上）学历；</w:t>
      </w:r>
    </w:p>
    <w:p>
      <w:pPr>
        <w:numPr>
          <w:ilvl w:val="0"/>
          <w:numId w:val="40"/>
        </w:numPr>
        <w:shd w:val="clear"/>
        <w:adjustRightInd w:val="0"/>
        <w:snapToGrid w:val="0"/>
        <w:spacing w:line="360" w:lineRule="auto"/>
        <w:ind w:left="420" w:leftChars="200"/>
        <w:rPr>
          <w:rFonts w:ascii="宋体" w:hAnsi="宋体" w:cs="宋体"/>
          <w:szCs w:val="21"/>
          <w:highlight w:val="none"/>
        </w:rPr>
      </w:pPr>
      <w:r>
        <w:rPr>
          <w:rFonts w:hint="eastAsia" w:ascii="宋体" w:hAnsi="宋体" w:cs="宋体"/>
          <w:szCs w:val="21"/>
          <w:highlight w:val="none"/>
        </w:rPr>
        <w:t>具备5年以上安保服务从业经验，</w:t>
      </w:r>
      <w:r>
        <w:rPr>
          <w:rFonts w:hint="eastAsia" w:ascii="宋体" w:hAnsi="宋体" w:cs="宋体"/>
          <w:kern w:val="0"/>
          <w:szCs w:val="21"/>
          <w:highlight w:val="none"/>
        </w:rPr>
        <w:t>及</w:t>
      </w:r>
      <w:r>
        <w:rPr>
          <w:rFonts w:hint="eastAsia" w:ascii="宋体" w:hAnsi="宋体" w:cs="宋体"/>
          <w:szCs w:val="21"/>
          <w:highlight w:val="none"/>
        </w:rPr>
        <w:t>2年以上写字楼或商业综合体物业服务经验，需在中标人处工作1年以上；</w:t>
      </w:r>
    </w:p>
    <w:p>
      <w:pPr>
        <w:numPr>
          <w:ilvl w:val="0"/>
          <w:numId w:val="40"/>
        </w:numPr>
        <w:shd w:val="clear"/>
        <w:adjustRightInd w:val="0"/>
        <w:snapToGrid w:val="0"/>
        <w:spacing w:line="360" w:lineRule="auto"/>
        <w:ind w:left="420" w:leftChars="200"/>
        <w:rPr>
          <w:rFonts w:ascii="宋体" w:hAnsi="宋体" w:cs="宋体"/>
          <w:highlight w:val="none"/>
        </w:rPr>
      </w:pPr>
      <w:r>
        <w:rPr>
          <w:rFonts w:hint="eastAsia" w:ascii="宋体" w:hAnsi="宋体" w:cs="宋体"/>
          <w:szCs w:val="21"/>
          <w:highlight w:val="none"/>
        </w:rPr>
        <w:t>责任心强，熟悉安全管理工作相关法律法规及工作流程，具备处理突发事件的能力；</w:t>
      </w:r>
    </w:p>
    <w:p>
      <w:pPr>
        <w:numPr>
          <w:ilvl w:val="0"/>
          <w:numId w:val="40"/>
        </w:numPr>
        <w:shd w:val="clear"/>
        <w:adjustRightInd w:val="0"/>
        <w:snapToGrid w:val="0"/>
        <w:spacing w:line="360" w:lineRule="auto"/>
        <w:ind w:left="420" w:leftChars="200"/>
        <w:rPr>
          <w:rFonts w:ascii="宋体" w:hAnsi="宋体" w:cs="宋体"/>
          <w:highlight w:val="none"/>
        </w:rPr>
      </w:pPr>
      <w:r>
        <w:rPr>
          <w:rFonts w:hint="eastAsia" w:ascii="宋体" w:hAnsi="宋体" w:cs="宋体"/>
          <w:highlight w:val="none"/>
        </w:rPr>
        <w:t>持有服务内容相关专业资格证、操作证或上岗证。</w:t>
      </w:r>
    </w:p>
    <w:p>
      <w:pPr>
        <w:numPr>
          <w:ilvl w:val="0"/>
          <w:numId w:val="38"/>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工程负责人</w:t>
      </w:r>
      <w:r>
        <w:rPr>
          <w:rFonts w:hint="eastAsia" w:ascii="宋体" w:hAnsi="宋体" w:cs="宋体"/>
          <w:szCs w:val="21"/>
          <w:highlight w:val="none"/>
        </w:rPr>
        <w:t>（1名）</w:t>
      </w:r>
    </w:p>
    <w:p>
      <w:pPr>
        <w:numPr>
          <w:ilvl w:val="0"/>
          <w:numId w:val="41"/>
        </w:numPr>
        <w:shd w:val="clear"/>
        <w:adjustRightInd w:val="0"/>
        <w:snapToGrid w:val="0"/>
        <w:spacing w:line="360" w:lineRule="auto"/>
        <w:ind w:left="420" w:leftChars="200"/>
        <w:rPr>
          <w:rFonts w:ascii="宋体" w:hAnsi="宋体" w:cs="宋体"/>
          <w:szCs w:val="21"/>
          <w:highlight w:val="none"/>
        </w:rPr>
      </w:pPr>
      <w:r>
        <w:rPr>
          <w:rFonts w:hint="eastAsia" w:ascii="宋体" w:hAnsi="宋体" w:cs="宋体"/>
          <w:szCs w:val="21"/>
          <w:highlight w:val="none"/>
        </w:rPr>
        <w:t>具有大专（或以上）学历；</w:t>
      </w:r>
    </w:p>
    <w:p>
      <w:pPr>
        <w:numPr>
          <w:ilvl w:val="0"/>
          <w:numId w:val="41"/>
        </w:numPr>
        <w:shd w:val="clear"/>
        <w:adjustRightInd w:val="0"/>
        <w:snapToGrid w:val="0"/>
        <w:spacing w:line="360" w:lineRule="auto"/>
        <w:ind w:left="420" w:leftChars="200"/>
        <w:rPr>
          <w:rFonts w:ascii="宋体" w:hAnsi="宋体" w:cs="宋体"/>
          <w:szCs w:val="21"/>
          <w:highlight w:val="none"/>
        </w:rPr>
      </w:pPr>
      <w:r>
        <w:rPr>
          <w:rFonts w:hint="eastAsia" w:ascii="宋体" w:hAnsi="宋体" w:cs="宋体"/>
          <w:szCs w:val="21"/>
          <w:highlight w:val="none"/>
        </w:rPr>
        <w:t>具备5年以上工程服务从业经验，</w:t>
      </w:r>
      <w:r>
        <w:rPr>
          <w:rFonts w:hint="eastAsia" w:ascii="宋体" w:hAnsi="宋体" w:cs="宋体"/>
          <w:kern w:val="0"/>
          <w:szCs w:val="21"/>
          <w:highlight w:val="none"/>
        </w:rPr>
        <w:t>及</w:t>
      </w:r>
      <w:r>
        <w:rPr>
          <w:rFonts w:hint="eastAsia" w:ascii="宋体" w:hAnsi="宋体" w:cs="宋体"/>
          <w:szCs w:val="21"/>
          <w:highlight w:val="none"/>
        </w:rPr>
        <w:t>2年以上写字楼或商业综合体物业服务经验，需在中标人处工作1年以上；</w:t>
      </w:r>
    </w:p>
    <w:p>
      <w:pPr>
        <w:numPr>
          <w:ilvl w:val="0"/>
          <w:numId w:val="41"/>
        </w:numPr>
        <w:shd w:val="clear"/>
        <w:adjustRightInd w:val="0"/>
        <w:snapToGrid w:val="0"/>
        <w:spacing w:line="360" w:lineRule="auto"/>
        <w:ind w:left="420" w:leftChars="200"/>
        <w:rPr>
          <w:rFonts w:ascii="宋体" w:hAnsi="宋体" w:cs="宋体"/>
          <w:highlight w:val="none"/>
        </w:rPr>
      </w:pPr>
      <w:r>
        <w:rPr>
          <w:rFonts w:hint="eastAsia" w:ascii="宋体" w:hAnsi="宋体" w:cs="宋体"/>
          <w:szCs w:val="21"/>
          <w:highlight w:val="none"/>
        </w:rPr>
        <w:t>熟悉产业园区、商写楼宇工程设备设施的维护与保养周期，具备判断与处理故障的能力；</w:t>
      </w:r>
    </w:p>
    <w:p>
      <w:pPr>
        <w:numPr>
          <w:ilvl w:val="0"/>
          <w:numId w:val="41"/>
        </w:numPr>
        <w:shd w:val="clear"/>
        <w:adjustRightInd w:val="0"/>
        <w:snapToGrid w:val="0"/>
        <w:spacing w:line="360" w:lineRule="auto"/>
        <w:ind w:left="420" w:leftChars="200"/>
        <w:rPr>
          <w:rFonts w:ascii="宋体" w:hAnsi="宋体" w:cs="宋体"/>
          <w:highlight w:val="none"/>
        </w:rPr>
      </w:pPr>
      <w:r>
        <w:rPr>
          <w:rFonts w:hint="eastAsia" w:ascii="宋体" w:hAnsi="宋体" w:cs="宋体"/>
          <w:kern w:val="0"/>
          <w:szCs w:val="21"/>
          <w:highlight w:val="none"/>
        </w:rPr>
        <w:t>持有服务内容相关专业资格证、操作证或上岗证。</w:t>
      </w:r>
    </w:p>
    <w:p>
      <w:pPr>
        <w:numPr>
          <w:ilvl w:val="0"/>
          <w:numId w:val="38"/>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客服负责人</w:t>
      </w:r>
      <w:r>
        <w:rPr>
          <w:rFonts w:hint="eastAsia" w:ascii="宋体" w:hAnsi="宋体" w:cs="宋体"/>
          <w:szCs w:val="21"/>
          <w:highlight w:val="none"/>
        </w:rPr>
        <w:t>（1名）</w:t>
      </w:r>
    </w:p>
    <w:p>
      <w:pPr>
        <w:numPr>
          <w:ilvl w:val="0"/>
          <w:numId w:val="42"/>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szCs w:val="21"/>
          <w:highlight w:val="none"/>
        </w:rPr>
        <w:t>具有大专（或以上）学历</w:t>
      </w:r>
      <w:r>
        <w:rPr>
          <w:rFonts w:hint="eastAsia" w:ascii="宋体" w:hAnsi="宋体" w:cs="宋体"/>
          <w:kern w:val="0"/>
          <w:szCs w:val="21"/>
          <w:highlight w:val="none"/>
        </w:rPr>
        <w:t>；</w:t>
      </w:r>
    </w:p>
    <w:p>
      <w:pPr>
        <w:numPr>
          <w:ilvl w:val="0"/>
          <w:numId w:val="42"/>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具备5年以上相关客户服务从业经验，及2年以上写字楼或商业综合体物业服务经验，需在</w:t>
      </w:r>
      <w:r>
        <w:rPr>
          <w:rFonts w:hint="eastAsia" w:ascii="宋体" w:hAnsi="宋体" w:cs="宋体"/>
          <w:szCs w:val="21"/>
          <w:highlight w:val="none"/>
        </w:rPr>
        <w:t>中标人处</w:t>
      </w:r>
      <w:r>
        <w:rPr>
          <w:rFonts w:hint="eastAsia" w:ascii="宋体" w:hAnsi="宋体" w:cs="宋体"/>
          <w:kern w:val="0"/>
          <w:szCs w:val="21"/>
          <w:highlight w:val="none"/>
        </w:rPr>
        <w:t>工作1年以上；</w:t>
      </w:r>
    </w:p>
    <w:p>
      <w:pPr>
        <w:numPr>
          <w:ilvl w:val="0"/>
          <w:numId w:val="42"/>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形象气质佳，有良好沟通组织协调能力，在客户关系维护、投诉处理方面</w:t>
      </w:r>
      <w:r>
        <w:rPr>
          <w:rFonts w:hint="eastAsia" w:ascii="宋体" w:hAnsi="宋体" w:cs="宋体"/>
          <w:szCs w:val="21"/>
          <w:highlight w:val="none"/>
        </w:rPr>
        <w:t>具丰富实践经验</w:t>
      </w:r>
      <w:r>
        <w:rPr>
          <w:rFonts w:hint="eastAsia" w:ascii="宋体" w:hAnsi="宋体" w:cs="宋体"/>
          <w:kern w:val="0"/>
          <w:szCs w:val="21"/>
          <w:highlight w:val="none"/>
        </w:rPr>
        <w:t>；</w:t>
      </w:r>
    </w:p>
    <w:p>
      <w:pPr>
        <w:numPr>
          <w:ilvl w:val="0"/>
          <w:numId w:val="42"/>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国、粤语标准，满足一般接待、会议场合的外语沟通能力。</w:t>
      </w:r>
    </w:p>
    <w:p>
      <w:pPr>
        <w:numPr>
          <w:ilvl w:val="0"/>
          <w:numId w:val="38"/>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环境负责人</w:t>
      </w:r>
      <w:r>
        <w:rPr>
          <w:rFonts w:hint="eastAsia" w:ascii="宋体" w:hAnsi="宋体" w:cs="宋体"/>
          <w:szCs w:val="21"/>
          <w:highlight w:val="none"/>
        </w:rPr>
        <w:t>（1名）</w:t>
      </w:r>
    </w:p>
    <w:p>
      <w:pPr>
        <w:numPr>
          <w:ilvl w:val="0"/>
          <w:numId w:val="43"/>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具有大专（或以上）学历；</w:t>
      </w:r>
    </w:p>
    <w:p>
      <w:pPr>
        <w:numPr>
          <w:ilvl w:val="0"/>
          <w:numId w:val="43"/>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具备5年以上相关环境保洁服务从业经验，及2年以上写字楼或商业综合体物业服务经验，需要在</w:t>
      </w:r>
      <w:r>
        <w:rPr>
          <w:rFonts w:hint="eastAsia" w:ascii="宋体" w:hAnsi="宋体" w:cs="宋体"/>
          <w:szCs w:val="21"/>
          <w:highlight w:val="none"/>
        </w:rPr>
        <w:t>中标人处</w:t>
      </w:r>
      <w:r>
        <w:rPr>
          <w:rFonts w:hint="eastAsia" w:ascii="宋体" w:hAnsi="宋体" w:cs="宋体"/>
          <w:kern w:val="0"/>
          <w:szCs w:val="21"/>
          <w:highlight w:val="none"/>
        </w:rPr>
        <w:t>工作1年以上；</w:t>
      </w:r>
    </w:p>
    <w:p>
      <w:pPr>
        <w:numPr>
          <w:ilvl w:val="0"/>
          <w:numId w:val="43"/>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熟悉产业园区、商写楼宇环境板块工作流程，在</w:t>
      </w:r>
      <w:r>
        <w:rPr>
          <w:rFonts w:hint="eastAsia" w:ascii="宋体" w:hAnsi="宋体" w:cs="宋体"/>
          <w:szCs w:val="21"/>
          <w:highlight w:val="none"/>
          <w:shd w:val="clear" w:color="auto" w:fill="FFFFFF"/>
        </w:rPr>
        <w:t>绿化养护管理方面有丰富实践经验</w:t>
      </w:r>
      <w:r>
        <w:rPr>
          <w:rFonts w:hint="eastAsia" w:ascii="宋体" w:hAnsi="宋体" w:cs="宋体"/>
          <w:kern w:val="0"/>
          <w:szCs w:val="21"/>
          <w:highlight w:val="none"/>
        </w:rPr>
        <w:t>；</w:t>
      </w:r>
    </w:p>
    <w:p>
      <w:pPr>
        <w:numPr>
          <w:ilvl w:val="0"/>
          <w:numId w:val="43"/>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持有服务内容相关专业资格证、操作证或上岗证。</w:t>
      </w:r>
    </w:p>
    <w:p>
      <w:pPr>
        <w:numPr>
          <w:ilvl w:val="0"/>
          <w:numId w:val="13"/>
        </w:numPr>
        <w:shd w:val="clear"/>
        <w:adjustRightInd w:val="0"/>
        <w:snapToGrid w:val="0"/>
        <w:spacing w:line="360" w:lineRule="auto"/>
        <w:ind w:left="1109" w:hanging="689"/>
        <w:rPr>
          <w:rFonts w:ascii="宋体" w:hAnsi="宋体" w:cs="宋体"/>
          <w:b/>
          <w:kern w:val="0"/>
          <w:szCs w:val="21"/>
          <w:highlight w:val="none"/>
        </w:rPr>
      </w:pPr>
      <w:r>
        <w:rPr>
          <w:rFonts w:hint="eastAsia" w:ascii="宋体" w:hAnsi="宋体" w:cs="宋体"/>
          <w:b/>
          <w:kern w:val="0"/>
          <w:szCs w:val="21"/>
          <w:highlight w:val="none"/>
        </w:rPr>
        <w:t>管理服务质量要求</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szCs w:val="21"/>
          <w:highlight w:val="none"/>
        </w:rPr>
        <w:t>★</w:t>
      </w:r>
      <w:r>
        <w:rPr>
          <w:rFonts w:hint="eastAsia" w:ascii="宋体" w:hAnsi="宋体" w:cs="宋体"/>
          <w:kern w:val="0"/>
          <w:szCs w:val="21"/>
          <w:highlight w:val="none"/>
        </w:rPr>
        <w:t>管理服务范围内无因中标人管理不当而发生重大刑事案件、重大交通及重大火灾等安全事故，社区监控范围内无被盗等治安案件的发生，无纵火、爆炸、投毒等恶性事（案）件发生、无外事纠纷、泄密等事（案）件发生。如因中标人管理不当导致上述事（案）件的发生，所产生的损失和责任全部由中标人承担</w:t>
      </w:r>
      <w:r>
        <w:rPr>
          <w:rFonts w:hint="eastAsia" w:hAnsi="宋体" w:cs="宋体"/>
          <w:bCs/>
          <w:highlight w:val="none"/>
        </w:rPr>
        <w:t>【投标时提供</w:t>
      </w:r>
      <w:r>
        <w:rPr>
          <w:rFonts w:hint="eastAsia" w:ascii="宋体" w:hAnsi="宋体" w:cs="宋体"/>
          <w:highlight w:val="none"/>
        </w:rPr>
        <w:t>由</w:t>
      </w:r>
      <w:r>
        <w:rPr>
          <w:rFonts w:hint="eastAsia"/>
          <w:highlight w:val="none"/>
        </w:rPr>
        <w:t>法定代表</w:t>
      </w:r>
      <w:r>
        <w:rPr>
          <w:rFonts w:hint="eastAsia" w:ascii="宋体" w:hAnsi="宋体" w:cs="宋体"/>
          <w:highlight w:val="none"/>
        </w:rPr>
        <w:t>签名确认的承诺函作证明</w:t>
      </w:r>
      <w:r>
        <w:rPr>
          <w:rFonts w:hint="eastAsia" w:hAnsi="宋体" w:cs="宋体"/>
          <w:highlight w:val="none"/>
        </w:rPr>
        <w:t>，承诺函</w:t>
      </w:r>
      <w:r>
        <w:rPr>
          <w:rFonts w:hint="eastAsia"/>
          <w:highlight w:val="none"/>
        </w:rPr>
        <w:t>格式自拟</w:t>
      </w:r>
      <w:r>
        <w:rPr>
          <w:rFonts w:hint="eastAsia" w:hAnsi="宋体" w:cs="宋体"/>
          <w:highlight w:val="none"/>
        </w:rPr>
        <w:t>】</w:t>
      </w:r>
      <w:r>
        <w:rPr>
          <w:rFonts w:hint="eastAsia" w:ascii="宋体" w:hAnsi="宋体" w:cs="宋体"/>
          <w:kern w:val="0"/>
          <w:szCs w:val="21"/>
          <w:highlight w:val="none"/>
        </w:rPr>
        <w:t>。</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严格遵守有关消防管理规定，确保无因中标人管理不当而发生消防事故，消防设备完好率100%。如因中标人管理不当导致发生消防事故，所产生的损失和责任全部由中标人承担。</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szCs w:val="21"/>
          <w:highlight w:val="none"/>
        </w:rPr>
        <w:t>★</w:t>
      </w:r>
      <w:r>
        <w:rPr>
          <w:rFonts w:hint="eastAsia" w:ascii="宋体" w:hAnsi="宋体" w:cs="宋体"/>
          <w:kern w:val="0"/>
          <w:szCs w:val="21"/>
          <w:highlight w:val="none"/>
        </w:rPr>
        <w:t>园区内设施、机电设备无操作管理、使用责任事故发生。全部外包项目及园区内施工工程无因中标人监管不到位而发生安全事故。如因中标人管理不当导致发生安全事故，所产生的损失和责任全部由中标人承担（投标时提供承诺函作为证明材料</w:t>
      </w:r>
      <w:r>
        <w:rPr>
          <w:rFonts w:hint="eastAsia" w:hAnsi="宋体" w:cs="宋体"/>
          <w:highlight w:val="none"/>
        </w:rPr>
        <w:t>，承诺函</w:t>
      </w:r>
      <w:r>
        <w:rPr>
          <w:rFonts w:hint="eastAsia"/>
          <w:highlight w:val="none"/>
        </w:rPr>
        <w:t>格式自拟</w:t>
      </w:r>
      <w:r>
        <w:rPr>
          <w:rFonts w:hint="eastAsia" w:ascii="宋体" w:hAnsi="宋体" w:cs="宋体"/>
          <w:kern w:val="0"/>
          <w:szCs w:val="21"/>
          <w:highlight w:val="none"/>
        </w:rPr>
        <w:t>）。</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各项设施设备的维修保养工作，必须按招标人要求的时限，高效、保质、保量完成。</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除因基建质量、设备质量在保修期内等特殊原因外，房屋及配套设施、设备完好；零星维修、急修（5小时内完成）及时率达100%（专业设施除外）。</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管理范围内照明、化粪池、雨水井、污水井、排水管、明暗沟、停车场、道路完好。</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房屋及配套设施、设备完好率达100%；维修、急修（5小时内完成）及时率达100%。</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管理范围内照明、化粪池、雨水井、污水井、排水管、明暗沟、停车场、道路完好率100%。</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实行动态保洁，卫生清洁保洁率100%。</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物业管理服务满意率在80%以上；投诉处理率100%。</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根据招标人制定的园区管理相关规定和需求，中标人拟定详细的管理服务细则或拟定详细的管理服务的实施方案，且经招标人认可后方能实施。</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中标人一切管理服务工作的实施，必须以服从于招标人的工作需要为前提，以方便园区为原则。维修保养等工作一般情况下在物业使用人非工作时间内进行。</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在园区安排24小时保安不定时对进行安全巡查，检查园区内重点部位及各层门窗设施设备、水电、消防等情况。</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设施进行维护保养，严禁在辖区人行道上停车以及在办公楼外围张贴、摆卖或闲坐等。</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中标人不得擅自对管理的各设施进行占用和改变使用功能，如需在改、扩建或完善配套项目，须经招标人书面同意后批准方可启动和实施。</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经招标人书面授权，中标人对违反物业管理法规和规章制度的行为进行处理：包括责令停工、责令赔偿经济损失以及停水停电等措施。</w:t>
      </w:r>
    </w:p>
    <w:p>
      <w:pPr>
        <w:numPr>
          <w:ilvl w:val="0"/>
          <w:numId w:val="44"/>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管理设备设施投入要求：中标人进驻并开展正常工作所必备的其他物资装备：警用安防信息化对讲系统，物业智能信息化管理系统；交通工具、通讯工具、办公家具、办公设备、全部人员的服装、安防装备、维修工具、绿化工具、清洁工具等。</w:t>
      </w:r>
    </w:p>
    <w:p>
      <w:pPr>
        <w:shd w:val="clear"/>
        <w:adjustRightInd w:val="0"/>
        <w:snapToGrid w:val="0"/>
        <w:spacing w:line="360" w:lineRule="auto"/>
        <w:ind w:left="359" w:leftChars="171" w:firstLine="474" w:firstLineChars="225"/>
        <w:rPr>
          <w:rFonts w:ascii="宋体" w:hAnsi="宋体" w:cs="宋体"/>
          <w:b/>
          <w:bCs/>
          <w:kern w:val="0"/>
          <w:szCs w:val="21"/>
          <w:highlight w:val="none"/>
        </w:rPr>
      </w:pPr>
    </w:p>
    <w:p>
      <w:pPr>
        <w:shd w:val="clear"/>
        <w:adjustRightInd w:val="0"/>
        <w:snapToGrid w:val="0"/>
        <w:spacing w:line="360" w:lineRule="auto"/>
        <w:ind w:left="359" w:leftChars="171" w:firstLine="474" w:firstLineChars="225"/>
        <w:jc w:val="center"/>
        <w:rPr>
          <w:b/>
          <w:bCs/>
          <w:highlight w:val="none"/>
        </w:rPr>
      </w:pPr>
      <w:r>
        <w:rPr>
          <w:rFonts w:hint="eastAsia" w:ascii="宋体" w:hAnsi="宋体" w:cs="宋体"/>
          <w:b/>
          <w:bCs/>
          <w:kern w:val="0"/>
          <w:szCs w:val="21"/>
          <w:highlight w:val="none"/>
        </w:rPr>
        <w:t>第二部分 商务要求</w:t>
      </w:r>
    </w:p>
    <w:p>
      <w:pPr>
        <w:numPr>
          <w:ilvl w:val="0"/>
          <w:numId w:val="45"/>
        </w:numPr>
        <w:shd w:val="clear"/>
        <w:adjustRightInd w:val="0"/>
        <w:snapToGrid w:val="0"/>
        <w:spacing w:line="360" w:lineRule="auto"/>
        <w:ind w:left="1109" w:hanging="689"/>
        <w:rPr>
          <w:rFonts w:ascii="宋体" w:hAnsi="宋体" w:cs="宋体"/>
          <w:b/>
          <w:bCs/>
          <w:kern w:val="0"/>
          <w:szCs w:val="21"/>
          <w:highlight w:val="none"/>
        </w:rPr>
      </w:pPr>
      <w:r>
        <w:rPr>
          <w:rFonts w:hint="eastAsia" w:ascii="宋体" w:hAnsi="宋体" w:cs="宋体"/>
          <w:b/>
          <w:szCs w:val="21"/>
          <w:highlight w:val="none"/>
        </w:rPr>
        <w:t>服务期限</w:t>
      </w:r>
    </w:p>
    <w:p>
      <w:pPr>
        <w:shd w:val="clear"/>
        <w:adjustRightInd w:val="0"/>
        <w:snapToGrid w:val="0"/>
        <w:spacing w:line="360" w:lineRule="auto"/>
        <w:ind w:left="359" w:leftChars="171" w:firstLine="472" w:firstLineChars="225"/>
        <w:rPr>
          <w:rFonts w:ascii="宋体" w:hAnsi="宋体" w:cs="宋体"/>
          <w:szCs w:val="21"/>
          <w:highlight w:val="none"/>
        </w:rPr>
      </w:pPr>
      <w:r>
        <w:rPr>
          <w:rFonts w:hint="eastAsia" w:ascii="宋体" w:hAnsi="宋体" w:cs="宋体"/>
          <w:szCs w:val="21"/>
          <w:highlight w:val="none"/>
        </w:rPr>
        <w:t>二年（具体服务起始时间以招标人通知为准）。</w:t>
      </w:r>
    </w:p>
    <w:p>
      <w:pPr>
        <w:numPr>
          <w:ilvl w:val="0"/>
          <w:numId w:val="45"/>
        </w:numPr>
        <w:shd w:val="clear"/>
        <w:adjustRightInd w:val="0"/>
        <w:snapToGrid w:val="0"/>
        <w:spacing w:line="360" w:lineRule="auto"/>
        <w:ind w:left="1109" w:hanging="689"/>
        <w:rPr>
          <w:rFonts w:ascii="宋体" w:hAnsi="宋体" w:cs="宋体"/>
          <w:b/>
          <w:bCs/>
          <w:kern w:val="0"/>
          <w:szCs w:val="21"/>
          <w:highlight w:val="none"/>
        </w:rPr>
      </w:pPr>
      <w:r>
        <w:rPr>
          <w:rFonts w:hint="eastAsia" w:ascii="宋体" w:hAnsi="宋体" w:cs="宋体"/>
          <w:b/>
          <w:bCs/>
          <w:kern w:val="0"/>
          <w:szCs w:val="21"/>
          <w:highlight w:val="none"/>
        </w:rPr>
        <w:t>其他要求</w:t>
      </w:r>
    </w:p>
    <w:p>
      <w:pPr>
        <w:numPr>
          <w:ilvl w:val="0"/>
          <w:numId w:val="4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如中标人的人员出现违法违规行为，中标人应把处理方案以及处理结果以书面形式送达招标人备案。</w:t>
      </w:r>
    </w:p>
    <w:p>
      <w:pPr>
        <w:numPr>
          <w:ilvl w:val="0"/>
          <w:numId w:val="4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中标人应不定时组织人员的培训工作，提升工作人员的工作素质和质量。</w:t>
      </w:r>
    </w:p>
    <w:p>
      <w:pPr>
        <w:numPr>
          <w:ilvl w:val="0"/>
          <w:numId w:val="4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中标人要准时支付工作人员的工资，如因中标人原因拖欠工资或发生劳动争议纠纷等一切责任由中标人承担，与招标人无关。</w:t>
      </w:r>
    </w:p>
    <w:p>
      <w:pPr>
        <w:numPr>
          <w:ilvl w:val="0"/>
          <w:numId w:val="4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中标人要按相关法律法规规定为工作人员购买社保及保险，中标人工作人员在工作期间因各类事故导致的人身伤害，由中标人全部承担，与招标人无关。</w:t>
      </w:r>
    </w:p>
    <w:p>
      <w:pPr>
        <w:numPr>
          <w:ilvl w:val="0"/>
          <w:numId w:val="4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中标人不得把项目转包、转让予第三方公司或分公司，否则招标人有权单方解除合同并没收履约保证金而无需承担任何违约责任，中标人须与招标人聘请的新物业管理服务企业办妥相关的交接手续。如履约保证金不足以赔偿招标人损失时，招标人还有权继续对中标人进行追讨。</w:t>
      </w:r>
    </w:p>
    <w:p>
      <w:pPr>
        <w:numPr>
          <w:ilvl w:val="0"/>
          <w:numId w:val="4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经招标人同意，中标人可委托专业公司对招标人设备、设施、维护、维修、保养及承担本物业的专项维护、管理与服务业务，但不得将本项目的管理责任转让给第三方，同时中标人应保证招标人相关设施、设备的正常管理、运行，有关费用已计入本合同总价，超出部分由中标人承担。</w:t>
      </w:r>
    </w:p>
    <w:p>
      <w:pPr>
        <w:numPr>
          <w:ilvl w:val="0"/>
          <w:numId w:val="4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合同履行期间及合同解除或终止后，</w:t>
      </w:r>
      <w:r>
        <w:rPr>
          <w:rFonts w:hint="eastAsia" w:hAnsi="宋体" w:cs="宋体"/>
          <w:kern w:val="0"/>
          <w:szCs w:val="21"/>
          <w:highlight w:val="none"/>
        </w:rPr>
        <w:t>中标人</w:t>
      </w:r>
      <w:r>
        <w:rPr>
          <w:rFonts w:hint="eastAsia" w:ascii="宋体" w:hAnsi="宋体" w:cs="宋体"/>
          <w:kern w:val="0"/>
          <w:szCs w:val="21"/>
          <w:highlight w:val="none"/>
        </w:rPr>
        <w:t>因自身合同纠纷或劳资纠纷等问题及相关法律责任与</w:t>
      </w:r>
      <w:r>
        <w:rPr>
          <w:rFonts w:hint="eastAsia" w:hAnsi="宋体" w:cs="宋体"/>
          <w:kern w:val="0"/>
          <w:szCs w:val="21"/>
          <w:highlight w:val="none"/>
        </w:rPr>
        <w:t>招标人</w:t>
      </w:r>
      <w:r>
        <w:rPr>
          <w:rFonts w:hint="eastAsia" w:ascii="宋体" w:hAnsi="宋体" w:cs="宋体"/>
          <w:kern w:val="0"/>
          <w:szCs w:val="21"/>
          <w:highlight w:val="none"/>
        </w:rPr>
        <w:t>无关，由</w:t>
      </w:r>
      <w:r>
        <w:rPr>
          <w:rFonts w:hint="eastAsia" w:hAnsi="宋体" w:cs="宋体"/>
          <w:kern w:val="0"/>
          <w:szCs w:val="21"/>
          <w:highlight w:val="none"/>
        </w:rPr>
        <w:t>中标人</w:t>
      </w:r>
      <w:r>
        <w:rPr>
          <w:rFonts w:hint="eastAsia" w:ascii="宋体" w:hAnsi="宋体" w:cs="宋体"/>
          <w:kern w:val="0"/>
          <w:szCs w:val="21"/>
          <w:highlight w:val="none"/>
        </w:rPr>
        <w:t>自行解决。若上述问题对</w:t>
      </w:r>
      <w:r>
        <w:rPr>
          <w:rFonts w:hint="eastAsia" w:hAnsi="宋体" w:cs="宋体"/>
          <w:kern w:val="0"/>
          <w:szCs w:val="21"/>
          <w:highlight w:val="none"/>
        </w:rPr>
        <w:t>招标人</w:t>
      </w:r>
      <w:r>
        <w:rPr>
          <w:rFonts w:hint="eastAsia" w:ascii="宋体" w:hAnsi="宋体" w:cs="宋体"/>
          <w:kern w:val="0"/>
          <w:szCs w:val="21"/>
          <w:highlight w:val="none"/>
        </w:rPr>
        <w:t>、园区入驻企业正常经营造成影响的，</w:t>
      </w:r>
      <w:r>
        <w:rPr>
          <w:rFonts w:hint="eastAsia" w:hAnsi="宋体" w:cs="宋体"/>
          <w:kern w:val="0"/>
          <w:szCs w:val="21"/>
          <w:highlight w:val="none"/>
        </w:rPr>
        <w:t>招标人</w:t>
      </w:r>
      <w:r>
        <w:rPr>
          <w:rFonts w:hint="eastAsia" w:ascii="宋体" w:hAnsi="宋体" w:cs="宋体"/>
          <w:kern w:val="0"/>
          <w:szCs w:val="21"/>
          <w:highlight w:val="none"/>
        </w:rPr>
        <w:t>有权向</w:t>
      </w:r>
      <w:r>
        <w:rPr>
          <w:rFonts w:hint="eastAsia" w:hAnsi="宋体" w:cs="宋体"/>
          <w:kern w:val="0"/>
          <w:szCs w:val="21"/>
          <w:highlight w:val="none"/>
        </w:rPr>
        <w:t>中标人</w:t>
      </w:r>
      <w:r>
        <w:rPr>
          <w:rFonts w:hint="eastAsia" w:ascii="宋体" w:hAnsi="宋体" w:cs="宋体"/>
          <w:kern w:val="0"/>
          <w:szCs w:val="21"/>
          <w:highlight w:val="none"/>
        </w:rPr>
        <w:t>追究相关法律责任，由此造成的</w:t>
      </w:r>
      <w:r>
        <w:rPr>
          <w:rFonts w:hint="eastAsia" w:hAnsi="宋体" w:cs="宋体"/>
          <w:kern w:val="0"/>
          <w:szCs w:val="21"/>
          <w:highlight w:val="none"/>
        </w:rPr>
        <w:t>招标人</w:t>
      </w:r>
      <w:r>
        <w:rPr>
          <w:rFonts w:hint="eastAsia" w:ascii="宋体" w:hAnsi="宋体" w:cs="宋体"/>
          <w:kern w:val="0"/>
          <w:szCs w:val="21"/>
          <w:highlight w:val="none"/>
        </w:rPr>
        <w:t>经济损失、园区入驻企业经济损失由</w:t>
      </w:r>
      <w:r>
        <w:rPr>
          <w:rFonts w:hint="eastAsia" w:hAnsi="宋体" w:cs="宋体"/>
          <w:kern w:val="0"/>
          <w:szCs w:val="21"/>
          <w:highlight w:val="none"/>
        </w:rPr>
        <w:t>中标人</w:t>
      </w:r>
      <w:r>
        <w:rPr>
          <w:rFonts w:hint="eastAsia" w:ascii="宋体" w:hAnsi="宋体" w:cs="宋体"/>
          <w:kern w:val="0"/>
          <w:szCs w:val="21"/>
          <w:highlight w:val="none"/>
        </w:rPr>
        <w:t>承担</w:t>
      </w:r>
      <w:r>
        <w:rPr>
          <w:rFonts w:hint="eastAsia" w:hAnsi="宋体" w:cs="宋体"/>
          <w:kern w:val="0"/>
          <w:szCs w:val="21"/>
          <w:highlight w:val="none"/>
        </w:rPr>
        <w:t>（投标时提供承诺函作为证明材料，格式自拟）</w:t>
      </w:r>
      <w:r>
        <w:rPr>
          <w:rFonts w:hint="eastAsia" w:ascii="宋体" w:hAnsi="宋体" w:cs="宋体"/>
          <w:kern w:val="0"/>
          <w:szCs w:val="21"/>
          <w:highlight w:val="none"/>
        </w:rPr>
        <w:t>。</w:t>
      </w:r>
    </w:p>
    <w:p>
      <w:pPr>
        <w:numPr>
          <w:ilvl w:val="0"/>
          <w:numId w:val="45"/>
        </w:numPr>
        <w:shd w:val="clear"/>
        <w:adjustRightInd w:val="0"/>
        <w:snapToGrid w:val="0"/>
        <w:spacing w:line="360" w:lineRule="auto"/>
        <w:ind w:left="1109" w:hanging="689"/>
        <w:rPr>
          <w:rFonts w:ascii="宋体" w:hAnsi="宋体" w:cs="宋体"/>
          <w:b/>
          <w:bCs/>
          <w:kern w:val="0"/>
          <w:szCs w:val="21"/>
          <w:highlight w:val="none"/>
        </w:rPr>
      </w:pPr>
      <w:r>
        <w:rPr>
          <w:rFonts w:hint="eastAsia" w:ascii="宋体" w:hAnsi="宋体" w:cs="宋体"/>
          <w:b/>
          <w:bCs/>
          <w:kern w:val="0"/>
          <w:szCs w:val="21"/>
          <w:highlight w:val="none"/>
        </w:rPr>
        <w:t>报价要求</w:t>
      </w:r>
    </w:p>
    <w:p>
      <w:pPr>
        <w:numPr>
          <w:ilvl w:val="0"/>
          <w:numId w:val="47"/>
        </w:numPr>
        <w:shd w:val="clear"/>
        <w:adjustRightInd w:val="0"/>
        <w:snapToGrid w:val="0"/>
        <w:spacing w:line="360" w:lineRule="auto"/>
        <w:rPr>
          <w:rFonts w:ascii="宋体" w:hAnsi="宋体" w:cs="宋体"/>
          <w:kern w:val="0"/>
          <w:szCs w:val="21"/>
          <w:highlight w:val="none"/>
        </w:rPr>
      </w:pPr>
      <w:r>
        <w:rPr>
          <w:rFonts w:hint="eastAsia" w:ascii="宋体" w:hAnsi="宋体" w:cs="宋体"/>
          <w:b/>
          <w:bCs/>
          <w:kern w:val="0"/>
          <w:szCs w:val="21"/>
          <w:highlight w:val="none"/>
        </w:rPr>
        <w:t>本项目2年服务总费用为人民币</w:t>
      </w:r>
      <w:r>
        <w:rPr>
          <w:rFonts w:hint="eastAsia" w:ascii="宋体" w:hAnsi="宋体" w:cs="宋体"/>
          <w:b/>
          <w:bCs/>
          <w:kern w:val="0"/>
          <w:szCs w:val="21"/>
          <w:highlight w:val="none"/>
          <w:lang w:eastAsia="zh-CN"/>
        </w:rPr>
        <w:t>7,895,161.64</w:t>
      </w:r>
      <w:r>
        <w:rPr>
          <w:rFonts w:hint="eastAsia" w:ascii="宋体" w:hAnsi="宋体" w:cs="宋体"/>
          <w:b/>
          <w:bCs/>
          <w:kern w:val="0"/>
          <w:szCs w:val="21"/>
          <w:highlight w:val="none"/>
        </w:rPr>
        <w:t>元，本项目的最高限价为人民币</w:t>
      </w:r>
      <w:r>
        <w:rPr>
          <w:rFonts w:hint="eastAsia" w:ascii="宋体" w:hAnsi="宋体" w:cs="宋体"/>
          <w:b/>
          <w:bCs/>
          <w:kern w:val="0"/>
          <w:szCs w:val="21"/>
          <w:highlight w:val="none"/>
          <w:lang w:eastAsia="zh-CN"/>
        </w:rPr>
        <w:t>7,895,161.64</w:t>
      </w:r>
      <w:r>
        <w:rPr>
          <w:rFonts w:hint="eastAsia" w:ascii="宋体" w:hAnsi="宋体" w:cs="宋体"/>
          <w:b/>
          <w:bCs/>
          <w:kern w:val="0"/>
          <w:szCs w:val="21"/>
          <w:highlight w:val="none"/>
        </w:rPr>
        <w:t>元</w:t>
      </w:r>
      <w:r>
        <w:rPr>
          <w:rFonts w:hint="eastAsia" w:ascii="宋体" w:hAnsi="宋体" w:cs="宋体"/>
          <w:kern w:val="0"/>
          <w:szCs w:val="21"/>
          <w:highlight w:val="none"/>
        </w:rPr>
        <w:t>，</w:t>
      </w:r>
      <w:r>
        <w:rPr>
          <w:rFonts w:hint="eastAsia" w:ascii="宋体" w:hAnsi="宋体" w:cs="宋体"/>
          <w:b/>
          <w:bCs/>
          <w:kern w:val="0"/>
          <w:szCs w:val="21"/>
          <w:highlight w:val="none"/>
        </w:rPr>
        <w:t>本项目投标报不得超出最高限价</w:t>
      </w:r>
      <w:r>
        <w:rPr>
          <w:rFonts w:hint="eastAsia" w:ascii="宋体" w:hAnsi="宋体" w:cs="宋体"/>
          <w:kern w:val="0"/>
          <w:szCs w:val="21"/>
          <w:highlight w:val="none"/>
        </w:rPr>
        <w:t>，否则该投标文件为无效标。</w:t>
      </w:r>
    </w:p>
    <w:p>
      <w:pPr>
        <w:numPr>
          <w:ilvl w:val="0"/>
          <w:numId w:val="4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本项目</w:t>
      </w:r>
      <w:r>
        <w:rPr>
          <w:rFonts w:hint="eastAsia" w:hAnsi="宋体" w:cs="宋体"/>
          <w:kern w:val="0"/>
          <w:szCs w:val="21"/>
          <w:highlight w:val="none"/>
        </w:rPr>
        <w:t>服务总费用已</w:t>
      </w:r>
      <w:r>
        <w:rPr>
          <w:rFonts w:hint="eastAsia" w:ascii="宋体" w:hAnsi="宋体" w:cs="宋体"/>
          <w:kern w:val="0"/>
          <w:szCs w:val="21"/>
          <w:highlight w:val="none"/>
        </w:rPr>
        <w:t>包含</w:t>
      </w:r>
      <w:r>
        <w:rPr>
          <w:rFonts w:hint="eastAsia" w:hAnsi="宋体" w:cs="宋体"/>
          <w:kern w:val="0"/>
          <w:szCs w:val="21"/>
          <w:highlight w:val="none"/>
        </w:rPr>
        <w:t>物业管理</w:t>
      </w:r>
      <w:r>
        <w:rPr>
          <w:rFonts w:hint="eastAsia" w:ascii="宋体" w:hAnsi="宋体" w:cs="宋体"/>
          <w:szCs w:val="21"/>
          <w:highlight w:val="none"/>
        </w:rPr>
        <w:t>服务费、人工费（含工资、社保、工伤意外保险、全勤补助、节假日补助、加班费、高温补助费、年终奖励金等）、清洁所需材料或工具费、设备车辆、各种税费、中标服务费、相关用具的使用费用及各项税费等一切与完成本项目相关费用及合同实施过程中应预见和不可预见的一切费用。对于招标人内未明确数量的物业服务对象，视为已经包含在合同总价中，不再按实际数量调整，本项目提供的物业管理服务面积，若与实际情况不符时，招标人不作调整，按本合同总价结算</w:t>
      </w:r>
      <w:r>
        <w:rPr>
          <w:rFonts w:hint="eastAsia" w:ascii="宋体" w:hAnsi="宋体" w:cs="宋体"/>
          <w:kern w:val="0"/>
          <w:szCs w:val="21"/>
          <w:highlight w:val="none"/>
        </w:rPr>
        <w:t>。</w:t>
      </w:r>
    </w:p>
    <w:p>
      <w:pPr>
        <w:numPr>
          <w:ilvl w:val="0"/>
          <w:numId w:val="47"/>
        </w:numPr>
        <w:shd w:val="clear"/>
        <w:adjustRightInd w:val="0"/>
        <w:snapToGrid w:val="0"/>
        <w:spacing w:line="360" w:lineRule="auto"/>
        <w:rPr>
          <w:rFonts w:ascii="宋体" w:hAnsi="宋体" w:cs="宋体"/>
          <w:kern w:val="0"/>
          <w:szCs w:val="21"/>
          <w:highlight w:val="none"/>
        </w:rPr>
      </w:pPr>
      <w:r>
        <w:rPr>
          <w:rFonts w:hint="eastAsia" w:hAnsi="宋体"/>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0"/>
          <w:numId w:val="45"/>
        </w:numPr>
        <w:shd w:val="clear"/>
        <w:adjustRightInd w:val="0"/>
        <w:snapToGrid w:val="0"/>
        <w:spacing w:line="360" w:lineRule="auto"/>
        <w:ind w:left="1109" w:hanging="689"/>
        <w:rPr>
          <w:rFonts w:ascii="宋体" w:hAnsi="宋体" w:cs="宋体"/>
          <w:b/>
          <w:kern w:val="0"/>
          <w:szCs w:val="21"/>
          <w:highlight w:val="none"/>
        </w:rPr>
      </w:pPr>
      <w:r>
        <w:rPr>
          <w:rFonts w:hint="eastAsia" w:ascii="宋体" w:hAnsi="宋体" w:cs="宋体"/>
          <w:b/>
          <w:kern w:val="0"/>
          <w:szCs w:val="21"/>
          <w:highlight w:val="none"/>
        </w:rPr>
        <w:t>物业管理费用说明</w:t>
      </w:r>
    </w:p>
    <w:p>
      <w:pPr>
        <w:numPr>
          <w:ilvl w:val="0"/>
          <w:numId w:val="48"/>
        </w:numPr>
        <w:shd w:val="clear"/>
        <w:adjustRightInd w:val="0"/>
        <w:snapToGrid w:val="0"/>
        <w:spacing w:line="360" w:lineRule="auto"/>
        <w:ind w:firstLineChars="200"/>
        <w:rPr>
          <w:rFonts w:ascii="宋体" w:hAnsi="宋体" w:cs="宋体"/>
          <w:kern w:val="0"/>
          <w:szCs w:val="21"/>
          <w:highlight w:val="none"/>
        </w:rPr>
      </w:pPr>
      <w:r>
        <w:rPr>
          <w:rFonts w:hint="eastAsia" w:ascii="宋体" w:hAnsi="宋体" w:cs="宋体"/>
          <w:kern w:val="0"/>
          <w:szCs w:val="21"/>
          <w:highlight w:val="none"/>
        </w:rPr>
        <w:t>费用包括中标人履行本合同物业日常管理服务所发生一切费用，包括但不限于：</w:t>
      </w:r>
    </w:p>
    <w:p>
      <w:pPr>
        <w:numPr>
          <w:ilvl w:val="0"/>
          <w:numId w:val="4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lang w:val="en-US" w:eastAsia="zh-CN"/>
        </w:rPr>
        <w:t>物管服务人员</w:t>
      </w:r>
      <w:r>
        <w:rPr>
          <w:rFonts w:hint="eastAsia" w:ascii="宋体" w:hAnsi="宋体" w:cs="宋体"/>
          <w:kern w:val="0"/>
          <w:szCs w:val="21"/>
          <w:highlight w:val="none"/>
        </w:rPr>
        <w:t>工资：正常工资、年终奖、法定节假日加班费等（需符合《中华人民共和国劳动法》工资保障制度）；</w:t>
      </w:r>
    </w:p>
    <w:p>
      <w:pPr>
        <w:numPr>
          <w:ilvl w:val="0"/>
          <w:numId w:val="4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lang w:val="en-US" w:eastAsia="zh-CN"/>
        </w:rPr>
        <w:t>物管服务人员</w:t>
      </w:r>
      <w:r>
        <w:rPr>
          <w:rFonts w:hint="eastAsia" w:ascii="宋体" w:hAnsi="宋体" w:cs="宋体"/>
          <w:kern w:val="0"/>
          <w:szCs w:val="21"/>
          <w:highlight w:val="none"/>
        </w:rPr>
        <w:t>福利保险：福利费（奖金补贴）、培训费、工会及活动经费、节假日慰问费、防寒御暑费、员工生日福利、节假日慰问金、经济补偿金、残疾人就业保障金、员工伙食补贴、佛山市规定的各种社会保险等，否则交由劳动部门处理；</w:t>
      </w:r>
    </w:p>
    <w:p>
      <w:pPr>
        <w:numPr>
          <w:ilvl w:val="0"/>
          <w:numId w:val="4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办公费用：办公室水电费、通讯费（含电话通讯费、传真费、网络费）、办公设备维护和办公用品、档案管理、差旅费、员工行政管理费用等；</w:t>
      </w:r>
    </w:p>
    <w:p>
      <w:pPr>
        <w:numPr>
          <w:ilvl w:val="0"/>
          <w:numId w:val="4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公共秩序（安防）费用：安防工具物料消耗（包括对讲机、自行车、警具、雪糕筒、水马、围栏、警戒线等消耗费用）、保安管理费（公安部门收取）、各种装备维护保养费、消防工具（含枪头、水带、灭火器充装等消耗费用）等；</w:t>
      </w:r>
    </w:p>
    <w:p>
      <w:pPr>
        <w:numPr>
          <w:ilvl w:val="0"/>
          <w:numId w:val="4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清洁、保洁、消杀费用：清洁工具、物料消耗费、化粪池清理（每年清掏不少于1次）、供水箱清洗（每季度清洗一次，以及根据使用情况更换零部件）、消杀四害（夏季每月不少于2次，冬季每月1次）和防治白蚁（每年不少于4次）、环卫设施的更换维护保养、垃圾清运及处理费、建筑物外墙及玻璃幕墙清洗费（每年清洗1次）、防范各类传染病（非典、登革热及类似疫情）的各项防疫及应急工作的费用；</w:t>
      </w:r>
    </w:p>
    <w:p>
      <w:pPr>
        <w:numPr>
          <w:ilvl w:val="0"/>
          <w:numId w:val="4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绿化维护保养费用：工具物料消耗、剪草机汽油费、施肥、病虫害防治费、苗木补种（包括草皮、树苗及支撑杆等消耗）、绿化垃圾清运费用；</w:t>
      </w:r>
    </w:p>
    <w:p>
      <w:pPr>
        <w:numPr>
          <w:ilvl w:val="0"/>
          <w:numId w:val="4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园区公共设施设备运行及保养费用，包含但不限于以下部分：</w:t>
      </w:r>
    </w:p>
    <w:p>
      <w:pPr>
        <w:numPr>
          <w:ilvl w:val="0"/>
          <w:numId w:val="50"/>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公共照明设施维保费：路灯、景观灯、射灯、吊灯、壁灯、天花灯槽、开关线路等维修保养；</w:t>
      </w:r>
    </w:p>
    <w:p>
      <w:pPr>
        <w:numPr>
          <w:ilvl w:val="0"/>
          <w:numId w:val="50"/>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消防系统维保费: 发电机、变压器、电箱及线路等的维修、更换、清洁、保养，消防远程监控系统设备等；</w:t>
      </w:r>
    </w:p>
    <w:p>
      <w:pPr>
        <w:numPr>
          <w:ilvl w:val="0"/>
          <w:numId w:val="50"/>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智能化弱电系统维保费:门禁道闸、对讲及防盗视频等弱电系统、电子巡更系统的维修保养；</w:t>
      </w:r>
    </w:p>
    <w:p>
      <w:pPr>
        <w:numPr>
          <w:ilvl w:val="0"/>
          <w:numId w:val="50"/>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水泵及供水管道维保费: 水泵、水泵控制柜、管道、阀门、水龙头、冲水阀、水箱、接水管等给水系统的维修、保养、更换、刷漆等；</w:t>
      </w:r>
    </w:p>
    <w:p>
      <w:pPr>
        <w:numPr>
          <w:ilvl w:val="0"/>
          <w:numId w:val="50"/>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电梯维保费、年检费：园区内所有电梯日常维护、保养、维修，非核心零部件的更换，以及电梯年检；</w:t>
      </w:r>
    </w:p>
    <w:p>
      <w:pPr>
        <w:numPr>
          <w:ilvl w:val="0"/>
          <w:numId w:val="50"/>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防雷设施维护费：园区内所有防雷设施的检测、保养、维修、更换等；</w:t>
      </w:r>
    </w:p>
    <w:p>
      <w:pPr>
        <w:numPr>
          <w:ilvl w:val="0"/>
          <w:numId w:val="50"/>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设备设施及房屋附属设施维修费：设备设施的小修、中修，零星维修，门窗、公厕、公共装饰设施等公共设施的保养、维修等；</w:t>
      </w:r>
    </w:p>
    <w:p>
      <w:pPr>
        <w:numPr>
          <w:ilvl w:val="0"/>
          <w:numId w:val="50"/>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空调系统：园区公共区域、管理办公区域空调设施的管理维护；</w:t>
      </w:r>
    </w:p>
    <w:p>
      <w:pPr>
        <w:numPr>
          <w:ilvl w:val="0"/>
          <w:numId w:val="50"/>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道路和排污排水管沟维保费：室外道路路面、路沿石、广场砖、地砖、道路标线、其他交通设施及各种检查井、排水管、排污管等的；包括化粪池、雨水井、污水井、排水管、明暗沟的清疏费用；</w:t>
      </w:r>
    </w:p>
    <w:p>
      <w:pPr>
        <w:numPr>
          <w:ilvl w:val="0"/>
          <w:numId w:val="50"/>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电房内高低压电力设施的维护费用；</w:t>
      </w:r>
    </w:p>
    <w:p>
      <w:pPr>
        <w:numPr>
          <w:ilvl w:val="0"/>
          <w:numId w:val="50"/>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公共责任险：根据园区要求及实际需要配置公共责任险，保单中应包含但不限于：承担园区内因管理过失导致的意外事故的人身财产损失，累计赔偿限额不低于人民币200万元；注：保单中，招标人应为被保人或受益人，免赔额部分由招标人承担。</w:t>
      </w:r>
    </w:p>
    <w:p>
      <w:pPr>
        <w:numPr>
          <w:ilvl w:val="0"/>
          <w:numId w:val="50"/>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开办费用清单：中标人进驻并开展正常工作所必备的物资装备费用主要有：交通工具、通讯工具、办公家具、办公设备、全部人员的服装、安防装备、维修工具、绿化工具、保洁工具；</w:t>
      </w:r>
    </w:p>
    <w:p>
      <w:pPr>
        <w:numPr>
          <w:ilvl w:val="0"/>
          <w:numId w:val="50"/>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不可预测费用；</w:t>
      </w:r>
    </w:p>
    <w:p>
      <w:pPr>
        <w:numPr>
          <w:ilvl w:val="0"/>
          <w:numId w:val="50"/>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管理酬金；</w:t>
      </w:r>
    </w:p>
    <w:p>
      <w:pPr>
        <w:numPr>
          <w:ilvl w:val="0"/>
          <w:numId w:val="50"/>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税金。</w:t>
      </w:r>
    </w:p>
    <w:p>
      <w:pPr>
        <w:numPr>
          <w:ilvl w:val="0"/>
          <w:numId w:val="4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费用不包括的事项：</w:t>
      </w:r>
    </w:p>
    <w:p>
      <w:pPr>
        <w:numPr>
          <w:ilvl w:val="0"/>
          <w:numId w:val="5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单项人民币2000元以上（不包含人民币2000元）的物业、设施设备的维修费由招标人承担（该类项目由中标人向招标人作事项申请，确认由招标人负责实施的，在支付给中标人的月度物业服务费中予以扣除人民币2000元/项，每月5项封顶，因建筑原始结构问题导致的房屋漏水渗水问题、地下旧有供水管道破裂的维修事项、对园区环境设施实施的提升改造事项不作扣除）。</w:t>
      </w:r>
    </w:p>
    <w:p>
      <w:pPr>
        <w:numPr>
          <w:ilvl w:val="0"/>
          <w:numId w:val="5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其它本项目服务内容外，需要招标人和中标人协商的费用。</w:t>
      </w:r>
    </w:p>
    <w:p>
      <w:pPr>
        <w:numPr>
          <w:ilvl w:val="0"/>
          <w:numId w:val="4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费用说明：</w:t>
      </w:r>
    </w:p>
    <w:p>
      <w:pPr>
        <w:numPr>
          <w:ilvl w:val="0"/>
          <w:numId w:val="5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特种设施或专业设施的维保托管事项，由中标人向招标人提交聘请第三方机构的相关资料（含专业资质），经招标人备案后，由中标人或委托第三方公司进行维保，费用由中标人承担；特种设施或专业设施维保托管单位在管理期内发生安全事故或劳资、合同纠纷的，所有责任由中标人全部承担；</w:t>
      </w:r>
    </w:p>
    <w:p>
      <w:pPr>
        <w:numPr>
          <w:ilvl w:val="0"/>
          <w:numId w:val="5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园内发生物业损坏时，由中标人向招标人提交修复明细以及拟委托第三方公司的相关资质，经招标人备案后，由中标人自行或委托第三方公司施工，费用由中标人承担；第三方施工单位在施工期内发生安全事故、劳资、合同纠纷或对招标人、施工人员、第三人造成人身、财产损害的，所有责任由中标人全部承担。</w:t>
      </w:r>
    </w:p>
    <w:p>
      <w:pPr>
        <w:shd w:val="clear"/>
        <w:adjustRightInd w:val="0"/>
        <w:snapToGrid w:val="0"/>
        <w:spacing w:line="360" w:lineRule="auto"/>
        <w:ind w:left="420"/>
        <w:rPr>
          <w:rFonts w:ascii="宋体" w:hAnsi="宋体" w:cs="宋体"/>
          <w:kern w:val="0"/>
          <w:szCs w:val="21"/>
          <w:highlight w:val="none"/>
        </w:rPr>
      </w:pPr>
      <w:r>
        <w:rPr>
          <w:rFonts w:hint="eastAsia" w:ascii="宋体" w:hAnsi="宋体" w:cs="宋体"/>
          <w:kern w:val="0"/>
          <w:szCs w:val="21"/>
          <w:highlight w:val="none"/>
        </w:rPr>
        <w:t>注：物业维保费用包含：物业维修、保养及零件更换。</w:t>
      </w:r>
    </w:p>
    <w:p>
      <w:pPr>
        <w:numPr>
          <w:ilvl w:val="0"/>
          <w:numId w:val="5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其他约定：招标人免费提供配套办公用房,中标人使用上述房屋产生的费用（如办公费、水电费用、用品更换费用、设施设备购置费用等）自理。</w:t>
      </w:r>
    </w:p>
    <w:p>
      <w:pPr>
        <w:numPr>
          <w:ilvl w:val="0"/>
          <w:numId w:val="5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由于中标人维护保养不善，物业损坏而导致园区或第三方财产损失，由中标人承担相应责任及费用。</w:t>
      </w:r>
    </w:p>
    <w:p>
      <w:pPr>
        <w:numPr>
          <w:ilvl w:val="0"/>
          <w:numId w:val="13"/>
        </w:numPr>
        <w:shd w:val="clear"/>
        <w:adjustRightInd w:val="0"/>
        <w:snapToGrid w:val="0"/>
        <w:spacing w:line="360" w:lineRule="auto"/>
        <w:ind w:left="1109" w:hanging="689"/>
        <w:rPr>
          <w:rFonts w:ascii="宋体" w:hAnsi="宋体" w:cs="宋体"/>
          <w:b/>
          <w:kern w:val="0"/>
          <w:szCs w:val="21"/>
          <w:highlight w:val="none"/>
        </w:rPr>
      </w:pPr>
      <w:r>
        <w:rPr>
          <w:rFonts w:hint="eastAsia" w:ascii="宋体" w:hAnsi="宋体" w:cs="宋体"/>
          <w:b/>
          <w:kern w:val="0"/>
          <w:szCs w:val="21"/>
          <w:highlight w:val="none"/>
        </w:rPr>
        <w:t>物业管理工作绩效考核办法</w:t>
      </w:r>
    </w:p>
    <w:p>
      <w:pPr>
        <w:numPr>
          <w:ilvl w:val="0"/>
          <w:numId w:val="53"/>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月度考核</w:t>
      </w:r>
    </w:p>
    <w:p>
      <w:pPr>
        <w:numPr>
          <w:ilvl w:val="0"/>
          <w:numId w:val="54"/>
        </w:numPr>
        <w:shd w:val="clear"/>
        <w:adjustRightInd w:val="0"/>
        <w:snapToGrid w:val="0"/>
        <w:spacing w:line="360" w:lineRule="auto"/>
        <w:ind w:hanging="5"/>
        <w:rPr>
          <w:rFonts w:ascii="宋体" w:hAnsi="宋体" w:cs="宋体"/>
          <w:szCs w:val="21"/>
          <w:highlight w:val="none"/>
        </w:rPr>
      </w:pPr>
      <w:r>
        <w:rPr>
          <w:rFonts w:hint="eastAsia" w:ascii="宋体" w:hAnsi="宋体" w:cs="宋体"/>
          <w:kern w:val="0"/>
          <w:szCs w:val="21"/>
          <w:highlight w:val="none"/>
        </w:rPr>
        <w:t>月度考核指标</w:t>
      </w:r>
    </w:p>
    <w:tbl>
      <w:tblPr>
        <w:tblStyle w:val="22"/>
        <w:tblW w:w="90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60"/>
        <w:gridCol w:w="743"/>
        <w:gridCol w:w="4177"/>
        <w:gridCol w:w="1376"/>
        <w:gridCol w:w="17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960" w:type="dxa"/>
            <w:tcBorders>
              <w:tl2br w:val="nil"/>
              <w:tr2bl w:val="nil"/>
            </w:tcBorders>
            <w:vAlign w:val="center"/>
          </w:tcPr>
          <w:p>
            <w:pPr>
              <w:shd w:val="clear"/>
              <w:jc w:val="center"/>
              <w:rPr>
                <w:rFonts w:ascii="宋体" w:hAnsi="宋体" w:cs="宋体"/>
                <w:b/>
                <w:szCs w:val="21"/>
                <w:highlight w:val="none"/>
              </w:rPr>
            </w:pPr>
            <w:r>
              <w:rPr>
                <w:rFonts w:hint="eastAsia" w:ascii="宋体" w:hAnsi="宋体" w:cs="宋体"/>
                <w:b/>
                <w:szCs w:val="21"/>
                <w:highlight w:val="none"/>
              </w:rPr>
              <w:t>类 别</w:t>
            </w:r>
          </w:p>
        </w:tc>
        <w:tc>
          <w:tcPr>
            <w:tcW w:w="743" w:type="dxa"/>
            <w:tcBorders>
              <w:tl2br w:val="nil"/>
              <w:tr2bl w:val="nil"/>
            </w:tcBorders>
            <w:vAlign w:val="center"/>
          </w:tcPr>
          <w:p>
            <w:pPr>
              <w:shd w:val="clear"/>
              <w:ind w:right="115"/>
              <w:jc w:val="center"/>
              <w:rPr>
                <w:rFonts w:ascii="宋体" w:hAnsi="宋体" w:cs="宋体"/>
                <w:szCs w:val="21"/>
                <w:highlight w:val="none"/>
              </w:rPr>
            </w:pPr>
            <w:r>
              <w:rPr>
                <w:rFonts w:hint="eastAsia" w:ascii="宋体" w:hAnsi="宋体" w:cs="宋体"/>
                <w:b/>
                <w:bCs/>
                <w:szCs w:val="21"/>
                <w:highlight w:val="none"/>
              </w:rPr>
              <w:t>序号</w:t>
            </w:r>
          </w:p>
        </w:tc>
        <w:tc>
          <w:tcPr>
            <w:tcW w:w="4177" w:type="dxa"/>
            <w:tcBorders>
              <w:tl2br w:val="nil"/>
              <w:tr2bl w:val="nil"/>
            </w:tcBorders>
            <w:vAlign w:val="center"/>
          </w:tcPr>
          <w:p>
            <w:pPr>
              <w:shd w:val="clear"/>
              <w:ind w:left="1620"/>
              <w:jc w:val="left"/>
              <w:rPr>
                <w:rFonts w:ascii="宋体" w:hAnsi="宋体" w:cs="宋体"/>
                <w:szCs w:val="21"/>
                <w:highlight w:val="none"/>
              </w:rPr>
            </w:pPr>
            <w:r>
              <w:rPr>
                <w:rFonts w:hint="eastAsia" w:ascii="宋体" w:hAnsi="宋体" w:cs="宋体"/>
                <w:b/>
                <w:bCs/>
                <w:szCs w:val="21"/>
                <w:highlight w:val="none"/>
              </w:rPr>
              <w:t>考核内容</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b/>
                <w:bCs/>
                <w:szCs w:val="21"/>
                <w:highlight w:val="none"/>
              </w:rPr>
              <w:t>扣减分数</w:t>
            </w:r>
          </w:p>
        </w:tc>
        <w:tc>
          <w:tcPr>
            <w:tcW w:w="1785" w:type="dxa"/>
            <w:tcBorders>
              <w:tl2br w:val="nil"/>
              <w:tr2bl w:val="nil"/>
            </w:tcBorders>
            <w:vAlign w:val="center"/>
          </w:tcPr>
          <w:p>
            <w:pPr>
              <w:shd w:val="clear"/>
              <w:ind w:left="175" w:hanging="175" w:hangingChars="83"/>
              <w:jc w:val="center"/>
              <w:rPr>
                <w:rFonts w:ascii="宋体" w:hAnsi="宋体" w:cs="宋体"/>
                <w:szCs w:val="21"/>
                <w:highlight w:val="none"/>
              </w:rPr>
            </w:pPr>
            <w:r>
              <w:rPr>
                <w:rFonts w:hint="eastAsia" w:ascii="宋体" w:hAnsi="宋体" w:cs="宋体"/>
                <w:b/>
                <w:bCs/>
                <w:szCs w:val="21"/>
                <w:highlight w:val="none"/>
              </w:rPr>
              <w:t>评分依据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960" w:type="dxa"/>
            <w:vMerge w:val="restart"/>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管理</w:t>
            </w:r>
          </w:p>
          <w:p>
            <w:pPr>
              <w:shd w:val="clear"/>
              <w:jc w:val="center"/>
              <w:rPr>
                <w:rFonts w:ascii="宋体" w:hAnsi="宋体" w:cs="宋体"/>
                <w:szCs w:val="21"/>
                <w:highlight w:val="none"/>
              </w:rPr>
            </w:pPr>
            <w:r>
              <w:rPr>
                <w:rFonts w:hint="eastAsia" w:ascii="宋体" w:hAnsi="宋体" w:cs="宋体"/>
                <w:szCs w:val="21"/>
                <w:highlight w:val="none"/>
              </w:rPr>
              <w:t>服务</w:t>
            </w:r>
          </w:p>
          <w:p>
            <w:pPr>
              <w:shd w:val="clear"/>
              <w:jc w:val="center"/>
              <w:rPr>
                <w:rFonts w:ascii="宋体" w:hAnsi="宋体" w:cs="宋体"/>
                <w:szCs w:val="21"/>
                <w:highlight w:val="none"/>
              </w:rPr>
            </w:pPr>
            <w:r>
              <w:rPr>
                <w:rFonts w:hint="eastAsia" w:ascii="宋体" w:hAnsi="宋体" w:cs="宋体"/>
                <w:szCs w:val="21"/>
                <w:highlight w:val="none"/>
              </w:rPr>
              <w:t>质量</w:t>
            </w: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物业服务不到位、不及时，被客户有效投诉，或对客户的相关投诉处理未跟踪解决。</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firstLine="105" w:firstLineChars="50"/>
              <w:jc w:val="center"/>
              <w:rPr>
                <w:rFonts w:ascii="宋体" w:hAnsi="宋体" w:cs="宋体"/>
                <w:szCs w:val="21"/>
                <w:highlight w:val="none"/>
              </w:rPr>
            </w:pPr>
            <w:r>
              <w:rPr>
                <w:rFonts w:hint="eastAsia" w:ascii="宋体" w:hAnsi="宋体" w:cs="宋体"/>
                <w:szCs w:val="21"/>
                <w:highlight w:val="none"/>
              </w:rPr>
              <w:t>客户投诉，调查属实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未定期对客户进行走访、回访和意见调查(每月5户)，无相关记录。</w:t>
            </w:r>
          </w:p>
        </w:tc>
        <w:tc>
          <w:tcPr>
            <w:tcW w:w="1376" w:type="dxa"/>
            <w:tcBorders>
              <w:tl2br w:val="nil"/>
              <w:tr2bl w:val="nil"/>
            </w:tcBorders>
            <w:vAlign w:val="center"/>
          </w:tcPr>
          <w:p>
            <w:pPr>
              <w:shd w:val="clear"/>
              <w:ind w:left="6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查被访客户及相关记录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97"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3</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办理客户入驻、接待装修申报及报修受理(当天)不及时。</w:t>
            </w:r>
          </w:p>
        </w:tc>
        <w:tc>
          <w:tcPr>
            <w:tcW w:w="1376" w:type="dxa"/>
            <w:tcBorders>
              <w:tl2br w:val="nil"/>
              <w:tr2bl w:val="nil"/>
            </w:tcBorders>
            <w:vAlign w:val="center"/>
          </w:tcPr>
          <w:p>
            <w:pPr>
              <w:shd w:val="clear"/>
              <w:ind w:left="6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客户投诉，调查属</w:t>
            </w:r>
          </w:p>
          <w:p>
            <w:pPr>
              <w:shd w:val="clear"/>
              <w:ind w:left="100"/>
              <w:jc w:val="center"/>
              <w:rPr>
                <w:rFonts w:ascii="宋体" w:hAnsi="宋体" w:cs="宋体"/>
                <w:szCs w:val="21"/>
                <w:highlight w:val="none"/>
              </w:rPr>
            </w:pPr>
            <w:r>
              <w:rPr>
                <w:rFonts w:hint="eastAsia" w:ascii="宋体" w:hAnsi="宋体" w:cs="宋体"/>
                <w:szCs w:val="21"/>
                <w:highlight w:val="none"/>
              </w:rPr>
              <w:t>实、查记录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4</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员工仪表仪容不整、行为不规范，未使用文明用语，不按规定制服着装、不佩带胸牌。</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定期检查和随机抽查培训记录、抽查现场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5</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未对员工定期进行业务培训。</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抽查培训记录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6</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未按要求、按时提交工作计划、工作报告、改进方案等</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定期检查和随机抽查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73"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7</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工作期间管理人员手机无法接通或不接听电话，对讲机呼叫无应答或对讲机处于关机状态。客服电话、24 小时服务电话长时间无法接通、无人接听</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8</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未经招标人同意更换项目经理、主管人员</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10分/次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9</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可能影响园区、客户经营的重大事项（如消防、安防、供水供电设施损坏、园区发生消防、安防、停水停电事件等）未报告或隐瞒不报</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10分/次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10</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未经招标人同意擅自减少岗位编制，或未按合同要求配足人员的。</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10分/次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960" w:type="dxa"/>
            <w:vMerge w:val="restart"/>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工作</w:t>
            </w:r>
          </w:p>
          <w:p>
            <w:pPr>
              <w:shd w:val="clear"/>
              <w:jc w:val="center"/>
              <w:rPr>
                <w:rFonts w:ascii="宋体" w:hAnsi="宋体" w:cs="宋体"/>
                <w:szCs w:val="21"/>
                <w:highlight w:val="none"/>
              </w:rPr>
            </w:pPr>
            <w:r>
              <w:rPr>
                <w:rFonts w:hint="eastAsia" w:ascii="宋体" w:hAnsi="宋体" w:cs="宋体"/>
                <w:szCs w:val="21"/>
                <w:highlight w:val="none"/>
              </w:rPr>
              <w:t>纪律</w:t>
            </w: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未按时完成交办的工作任务，酿成不良后果</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查记录通知、现场工作记录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73"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主管负责人督查不严，导致管理工作出现重大失误，影响招标人公司或园区形象、或造成较大经济损失</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3</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当班饮酒或酒后上班。 注：若给招标人、租户、第三方造成损失的，另行处理</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4</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当班期间串岗、脱岗、睡岗。注：若给招标人或租户造成损失的，另行处理</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5</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当班吵架、打架、赌博。 注：情节严重者另行处理</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6</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办公室内扎堆闲聊、上网游戏、看电影或在岗长时间聊私人电话</w:t>
            </w:r>
          </w:p>
        </w:tc>
        <w:tc>
          <w:tcPr>
            <w:tcW w:w="1376" w:type="dxa"/>
            <w:tcBorders>
              <w:tl2br w:val="nil"/>
              <w:tr2bl w:val="nil"/>
            </w:tcBorders>
            <w:vAlign w:val="center"/>
          </w:tcPr>
          <w:p>
            <w:pPr>
              <w:shd w:val="clear"/>
              <w:ind w:left="6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7</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未做到每月自检资料完整</w:t>
            </w:r>
          </w:p>
        </w:tc>
        <w:tc>
          <w:tcPr>
            <w:tcW w:w="1376" w:type="dxa"/>
            <w:tcBorders>
              <w:tl2br w:val="nil"/>
              <w:tr2bl w:val="nil"/>
            </w:tcBorders>
            <w:vAlign w:val="center"/>
          </w:tcPr>
          <w:p>
            <w:pPr>
              <w:shd w:val="clear"/>
              <w:ind w:left="6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5" w:hRule="atLeast"/>
          <w:jc w:val="center"/>
        </w:trPr>
        <w:tc>
          <w:tcPr>
            <w:tcW w:w="960" w:type="dxa"/>
            <w:vMerge w:val="restart"/>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治安</w:t>
            </w:r>
          </w:p>
          <w:p>
            <w:pPr>
              <w:shd w:val="clear"/>
              <w:jc w:val="center"/>
              <w:rPr>
                <w:rFonts w:ascii="宋体" w:hAnsi="宋体" w:cs="宋体"/>
                <w:szCs w:val="21"/>
                <w:highlight w:val="none"/>
              </w:rPr>
            </w:pPr>
            <w:r>
              <w:rPr>
                <w:rFonts w:hint="eastAsia" w:ascii="宋体" w:hAnsi="宋体" w:cs="宋体"/>
                <w:szCs w:val="21"/>
                <w:highlight w:val="none"/>
              </w:rPr>
              <w:t>安全</w:t>
            </w:r>
          </w:p>
          <w:p>
            <w:pPr>
              <w:shd w:val="clear"/>
              <w:jc w:val="center"/>
              <w:rPr>
                <w:rFonts w:ascii="宋体" w:hAnsi="宋体" w:cs="宋体"/>
                <w:szCs w:val="21"/>
                <w:highlight w:val="none"/>
              </w:rPr>
            </w:pPr>
            <w:r>
              <w:rPr>
                <w:rFonts w:hint="eastAsia" w:ascii="宋体" w:hAnsi="宋体" w:cs="宋体"/>
                <w:szCs w:val="21"/>
                <w:highlight w:val="none"/>
              </w:rPr>
              <w:t>保卫</w:t>
            </w: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园区发生重大安全事故(实行一票否决制，并追究主要责任人和直接责任人的责任)</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100分/次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现场取证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97" w:hRule="atLeast"/>
          <w:jc w:val="center"/>
        </w:trPr>
        <w:tc>
          <w:tcPr>
            <w:tcW w:w="960" w:type="dxa"/>
            <w:vMerge w:val="continue"/>
            <w:tcBorders>
              <w:tl2br w:val="nil"/>
              <w:tr2bl w:val="nil"/>
            </w:tcBorders>
            <w:vAlign w:val="bottom"/>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未做好园区内防火、防盗、防爆炸及预防治安案件的“四防”工作，每发生一起案件</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10分/次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3</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对园区内存在的安全隐患排查不力、整改措施不到位或整改措施计划未按期完成</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调查现场及整改计划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4</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未执行（或执行不力）园区内安保的定期和不定期巡查，且巡查记录不全</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firstLine="105" w:firstLineChars="50"/>
              <w:jc w:val="center"/>
              <w:rPr>
                <w:rFonts w:ascii="宋体" w:hAnsi="宋体" w:cs="宋体"/>
                <w:szCs w:val="21"/>
                <w:highlight w:val="none"/>
              </w:rPr>
            </w:pPr>
            <w:r>
              <w:rPr>
                <w:rFonts w:hint="eastAsia" w:ascii="宋体" w:hAnsi="宋体" w:cs="宋体"/>
                <w:szCs w:val="21"/>
                <w:highlight w:val="none"/>
              </w:rPr>
              <w:t>现场随机抽查、</w:t>
            </w:r>
          </w:p>
          <w:p>
            <w:pPr>
              <w:shd w:val="clear"/>
              <w:ind w:firstLine="105" w:firstLineChars="50"/>
              <w:jc w:val="center"/>
              <w:rPr>
                <w:rFonts w:ascii="宋体" w:hAnsi="宋体" w:cs="宋体"/>
                <w:szCs w:val="21"/>
                <w:highlight w:val="none"/>
              </w:rPr>
            </w:pPr>
            <w:r>
              <w:rPr>
                <w:rFonts w:hint="eastAsia" w:ascii="宋体" w:hAnsi="宋体" w:cs="宋体"/>
                <w:szCs w:val="21"/>
                <w:highlight w:val="none"/>
              </w:rPr>
              <w:t>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3"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5</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园区交付保管的固有资产失窃、损坏（经核算后赔付或修复）</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6</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发生重大传染病疫情期间（或疫情防控期间），未按政府、园区相关规定做好防疫工作的</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960" w:type="dxa"/>
            <w:vMerge w:val="restart"/>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费用</w:t>
            </w:r>
          </w:p>
          <w:p>
            <w:pPr>
              <w:shd w:val="clear"/>
              <w:jc w:val="center"/>
              <w:rPr>
                <w:rFonts w:ascii="宋体" w:hAnsi="宋体" w:cs="宋体"/>
                <w:szCs w:val="21"/>
                <w:highlight w:val="none"/>
              </w:rPr>
            </w:pPr>
            <w:r>
              <w:rPr>
                <w:rFonts w:hint="eastAsia" w:ascii="宋体" w:hAnsi="宋体" w:cs="宋体"/>
                <w:szCs w:val="21"/>
                <w:highlight w:val="none"/>
              </w:rPr>
              <w:t>收取</w:t>
            </w: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未建立各项收费台账，未保管好发票及收据</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查收费台账、发票、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45" w:hRule="atLeast"/>
          <w:jc w:val="center"/>
        </w:trPr>
        <w:tc>
          <w:tcPr>
            <w:tcW w:w="960" w:type="dxa"/>
            <w:vMerge w:val="continue"/>
            <w:tcBorders>
              <w:tl2br w:val="nil"/>
              <w:tr2bl w:val="nil"/>
            </w:tcBorders>
            <w:vAlign w:val="bottom"/>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水电、租金、管理费催缴，客户通知情况、反馈情况未记录详细，未做到相关签收文件齐全，每月移交一次</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960" w:type="dxa"/>
            <w:vMerge w:val="continue"/>
            <w:tcBorders>
              <w:tl2br w:val="nil"/>
              <w:tr2bl w:val="nil"/>
            </w:tcBorders>
            <w:vAlign w:val="bottom"/>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3</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未及时准确上报欠缴费租户名单明细，延时或不准确。</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查报表并登记上报时间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4</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操作不当造成设备设施损坏，物品丢失</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6"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5</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擅自允许非工作人员进入岗亭或休息室内。</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00"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6</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未核对水电费抄表数据，出现错误导致客户投诉或拒缴水电费的(客户拒缴差额部分由物业管理公司负责协调解决)，每发生一起</w:t>
            </w:r>
          </w:p>
        </w:tc>
        <w:tc>
          <w:tcPr>
            <w:tcW w:w="1376" w:type="dxa"/>
            <w:tcBorders>
              <w:tl2br w:val="nil"/>
              <w:tr2bl w:val="nil"/>
            </w:tcBorders>
            <w:vAlign w:val="center"/>
          </w:tcPr>
          <w:p>
            <w:pPr>
              <w:shd w:val="clear"/>
              <w:ind w:firstLine="105" w:firstLineChars="5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firstLine="105" w:firstLineChars="50"/>
              <w:jc w:val="center"/>
              <w:rPr>
                <w:rFonts w:ascii="宋体" w:hAnsi="宋体" w:cs="宋体"/>
                <w:szCs w:val="21"/>
                <w:highlight w:val="none"/>
              </w:rPr>
            </w:pPr>
            <w:r>
              <w:rPr>
                <w:rFonts w:hint="eastAsia" w:ascii="宋体" w:hAnsi="宋体" w:cs="宋体"/>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vMerge w:val="restart"/>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7</w:t>
            </w:r>
          </w:p>
        </w:tc>
        <w:tc>
          <w:tcPr>
            <w:tcW w:w="4177" w:type="dxa"/>
            <w:vMerge w:val="restart"/>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贪污款项、乱收费</w:t>
            </w:r>
          </w:p>
        </w:tc>
        <w:tc>
          <w:tcPr>
            <w:tcW w:w="1376" w:type="dxa"/>
            <w:vMerge w:val="restart"/>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10分/次</w:t>
            </w:r>
          </w:p>
        </w:tc>
        <w:tc>
          <w:tcPr>
            <w:tcW w:w="1785" w:type="dxa"/>
            <w:vMerge w:val="restart"/>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有效投诉、现场取证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vMerge w:val="continue"/>
            <w:tcBorders>
              <w:tl2br w:val="nil"/>
              <w:tr2bl w:val="nil"/>
            </w:tcBorders>
            <w:vAlign w:val="center"/>
          </w:tcPr>
          <w:p>
            <w:pPr>
              <w:shd w:val="clear"/>
              <w:jc w:val="center"/>
              <w:rPr>
                <w:rFonts w:ascii="宋体" w:hAnsi="宋体" w:cs="宋体"/>
                <w:szCs w:val="21"/>
                <w:highlight w:val="none"/>
              </w:rPr>
            </w:pPr>
          </w:p>
        </w:tc>
        <w:tc>
          <w:tcPr>
            <w:tcW w:w="4177" w:type="dxa"/>
            <w:vMerge w:val="continue"/>
            <w:tcBorders>
              <w:tl2br w:val="nil"/>
              <w:tr2bl w:val="nil"/>
            </w:tcBorders>
            <w:vAlign w:val="center"/>
          </w:tcPr>
          <w:p>
            <w:pPr>
              <w:shd w:val="clear"/>
              <w:rPr>
                <w:rFonts w:ascii="宋体" w:hAnsi="宋体" w:cs="宋体"/>
                <w:szCs w:val="21"/>
                <w:highlight w:val="none"/>
              </w:rPr>
            </w:pPr>
          </w:p>
        </w:tc>
        <w:tc>
          <w:tcPr>
            <w:tcW w:w="1376" w:type="dxa"/>
            <w:vMerge w:val="continue"/>
            <w:tcBorders>
              <w:tl2br w:val="nil"/>
              <w:tr2bl w:val="nil"/>
            </w:tcBorders>
            <w:vAlign w:val="center"/>
          </w:tcPr>
          <w:p>
            <w:pPr>
              <w:shd w:val="clear"/>
              <w:jc w:val="center"/>
              <w:rPr>
                <w:rFonts w:ascii="宋体" w:hAnsi="宋体" w:cs="宋体"/>
                <w:szCs w:val="21"/>
                <w:highlight w:val="none"/>
              </w:rPr>
            </w:pPr>
          </w:p>
        </w:tc>
        <w:tc>
          <w:tcPr>
            <w:tcW w:w="1785" w:type="dxa"/>
            <w:vMerge w:val="continue"/>
            <w:tcBorders>
              <w:tl2br w:val="nil"/>
              <w:tr2bl w:val="nil"/>
            </w:tcBorders>
            <w:vAlign w:val="center"/>
          </w:tcPr>
          <w:p>
            <w:pPr>
              <w:shd w:val="clear"/>
              <w:ind w:left="100"/>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7" w:hRule="atLeast"/>
          <w:jc w:val="center"/>
        </w:trPr>
        <w:tc>
          <w:tcPr>
            <w:tcW w:w="960" w:type="dxa"/>
            <w:vMerge w:val="restart"/>
            <w:tcBorders>
              <w:tl2br w:val="nil"/>
              <w:tr2bl w:val="nil"/>
            </w:tcBorders>
            <w:vAlign w:val="center"/>
          </w:tcPr>
          <w:p>
            <w:pPr>
              <w:shd w:val="clear"/>
              <w:wordWrap w:val="0"/>
              <w:jc w:val="center"/>
              <w:rPr>
                <w:rFonts w:ascii="宋体" w:hAnsi="宋体" w:cs="宋体"/>
                <w:szCs w:val="21"/>
                <w:highlight w:val="none"/>
              </w:rPr>
            </w:pPr>
            <w:r>
              <w:rPr>
                <w:rFonts w:hint="eastAsia" w:ascii="宋体" w:hAnsi="宋体" w:cs="宋体"/>
                <w:szCs w:val="21"/>
                <w:highlight w:val="none"/>
              </w:rPr>
              <w:t>装修</w:t>
            </w:r>
          </w:p>
          <w:p>
            <w:pPr>
              <w:shd w:val="clear"/>
              <w:wordWrap w:val="0"/>
              <w:jc w:val="center"/>
              <w:rPr>
                <w:rFonts w:ascii="宋体" w:hAnsi="宋体" w:cs="宋体"/>
                <w:szCs w:val="21"/>
                <w:highlight w:val="none"/>
              </w:rPr>
            </w:pPr>
            <w:r>
              <w:rPr>
                <w:rFonts w:hint="eastAsia" w:ascii="宋体" w:hAnsi="宋体" w:cs="宋体"/>
                <w:szCs w:val="21"/>
                <w:highlight w:val="none"/>
              </w:rPr>
              <w:t>管理</w:t>
            </w:r>
          </w:p>
        </w:tc>
        <w:tc>
          <w:tcPr>
            <w:tcW w:w="743"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毛坯场所管理巡查不力，场地垃圾堆积、闲杂人员聚焦、设备设施失修</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查记录、方案和现场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 xml:space="preserve">未办装修许可手续，私自动工装修，物业因巡查不力未及时发现和制止，酿成不良后果 10分/次 查装修登记、巡查记录及现场  </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10分/次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查记录、方案和现场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3</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对违章装修、违章搭建和影响房屋结构安全的装修未第一时间阻止，未及时上报管理单位</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10分/次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4</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因违规装修、违规施工造成的重大安全事故</w:t>
            </w:r>
          </w:p>
        </w:tc>
        <w:tc>
          <w:tcPr>
            <w:tcW w:w="1376" w:type="dxa"/>
            <w:tcBorders>
              <w:tl2br w:val="nil"/>
              <w:tr2bl w:val="nil"/>
            </w:tcBorders>
            <w:vAlign w:val="center"/>
          </w:tcPr>
          <w:p>
            <w:pPr>
              <w:shd w:val="clear"/>
              <w:ind w:firstLine="105" w:firstLineChars="50"/>
              <w:jc w:val="center"/>
              <w:rPr>
                <w:rFonts w:ascii="宋体" w:hAnsi="宋体" w:cs="宋体"/>
                <w:szCs w:val="21"/>
                <w:highlight w:val="none"/>
              </w:rPr>
            </w:pPr>
            <w:r>
              <w:rPr>
                <w:rFonts w:hint="eastAsia" w:ascii="宋体" w:hAnsi="宋体" w:cs="宋体"/>
                <w:szCs w:val="21"/>
                <w:highlight w:val="none"/>
              </w:rPr>
              <w:t>100分/次</w:t>
            </w:r>
          </w:p>
        </w:tc>
        <w:tc>
          <w:tcPr>
            <w:tcW w:w="1785" w:type="dxa"/>
            <w:tcBorders>
              <w:tl2br w:val="nil"/>
              <w:tr2bl w:val="nil"/>
            </w:tcBorders>
            <w:vAlign w:val="center"/>
          </w:tcPr>
          <w:p>
            <w:pPr>
              <w:shd w:val="clear"/>
              <w:ind w:firstLine="105" w:firstLineChars="50"/>
              <w:jc w:val="center"/>
              <w:rPr>
                <w:rFonts w:ascii="宋体" w:hAnsi="宋体" w:cs="宋体"/>
                <w:szCs w:val="21"/>
                <w:highlight w:val="none"/>
              </w:rPr>
            </w:pPr>
            <w:r>
              <w:rPr>
                <w:rFonts w:hint="eastAsia" w:ascii="宋体" w:hAnsi="宋体" w:cs="宋体"/>
                <w:szCs w:val="21"/>
                <w:highlight w:val="none"/>
              </w:rPr>
              <w:t>查记录、方案和现场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0" w:hRule="atLeast"/>
          <w:jc w:val="center"/>
        </w:trPr>
        <w:tc>
          <w:tcPr>
            <w:tcW w:w="960" w:type="dxa"/>
            <w:vMerge w:val="restart"/>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消防</w:t>
            </w:r>
          </w:p>
          <w:p>
            <w:pPr>
              <w:shd w:val="clear"/>
              <w:jc w:val="center"/>
              <w:rPr>
                <w:rFonts w:ascii="宋体" w:hAnsi="宋体" w:cs="宋体"/>
                <w:szCs w:val="21"/>
                <w:highlight w:val="none"/>
              </w:rPr>
            </w:pPr>
            <w:r>
              <w:rPr>
                <w:rFonts w:hint="eastAsia" w:ascii="宋体" w:hAnsi="宋体" w:cs="宋体"/>
                <w:szCs w:val="21"/>
                <w:highlight w:val="none"/>
              </w:rPr>
              <w:t>管理</w:t>
            </w: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未按要求设立专门消防专员，专员未持证上岗。</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查现场并调查取证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48" w:hRule="atLeast"/>
          <w:jc w:val="center"/>
        </w:trPr>
        <w:tc>
          <w:tcPr>
            <w:tcW w:w="960" w:type="dxa"/>
            <w:vMerge w:val="continue"/>
            <w:tcBorders>
              <w:tl2br w:val="nil"/>
              <w:tr2bl w:val="nil"/>
            </w:tcBorders>
            <w:vAlign w:val="bottom"/>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未按要求建立义务消防员制，未明确火灾现场通信联络、灭火、疏散、救护、保卫等任务的负责人，未定期进行培训和演习</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现场随机抽查、 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92" w:hRule="atLeast"/>
          <w:jc w:val="center"/>
        </w:trPr>
        <w:tc>
          <w:tcPr>
            <w:tcW w:w="960" w:type="dxa"/>
            <w:vMerge w:val="continue"/>
            <w:tcBorders>
              <w:tl2br w:val="nil"/>
              <w:tr2bl w:val="nil"/>
            </w:tcBorders>
            <w:vAlign w:val="bottom"/>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3</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未按要求明确消防控制室管理值班人员的职责，未制订24小时值班制度和交接班的程序，值班记录不完整</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3"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4</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未按要求确保消防设施和消防电源始终处于正常运行状态；需要维修时，未采取相应的措施，维修完成后，未按要求立即恢复到正常运行状态的</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960" w:type="dxa"/>
            <w:vMerge w:val="restart"/>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工程</w:t>
            </w:r>
          </w:p>
          <w:p>
            <w:pPr>
              <w:shd w:val="clear"/>
              <w:jc w:val="center"/>
              <w:rPr>
                <w:rFonts w:ascii="宋体" w:hAnsi="宋体" w:cs="宋体"/>
                <w:szCs w:val="21"/>
                <w:highlight w:val="none"/>
              </w:rPr>
            </w:pPr>
            <w:r>
              <w:rPr>
                <w:rFonts w:hint="eastAsia" w:ascii="宋体" w:hAnsi="宋体" w:cs="宋体"/>
                <w:szCs w:val="21"/>
                <w:highlight w:val="none"/>
              </w:rPr>
              <w:t>管理</w:t>
            </w: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未按要求建立健全园区各项设施、设备检查和维修整改记录、台账</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2分/项</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查台账、记录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1"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设备设施实行定期专项检查，未定期检查或无记录的</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查检查记录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960" w:type="dxa"/>
            <w:vMerge w:val="continue"/>
            <w:tcBorders>
              <w:tl2br w:val="nil"/>
              <w:tr2bl w:val="nil"/>
            </w:tcBorders>
            <w:vAlign w:val="bottom"/>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3</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设施、设备维保不到位，不能正常使用</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4</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加强园区各类设施、设备的巡检，确保安全运行无事故，每发生一起重大安全事故。</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100分/次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查巡检记录和现场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5</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客户报修（报修内容属实为前提）处理及时率未达到100%</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2分/百分点</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查记录、现场、客户投诉调查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6</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各类设备定期维保完成率未达到100%</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2分/百分点</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查记录、现场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68" w:hRule="atLeast"/>
          <w:jc w:val="center"/>
        </w:trPr>
        <w:tc>
          <w:tcPr>
            <w:tcW w:w="960" w:type="dxa"/>
            <w:vMerge w:val="restart"/>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环境</w:t>
            </w:r>
          </w:p>
          <w:p>
            <w:pPr>
              <w:shd w:val="clear"/>
              <w:jc w:val="center"/>
              <w:rPr>
                <w:rFonts w:ascii="宋体" w:hAnsi="宋体" w:cs="宋体"/>
                <w:szCs w:val="21"/>
                <w:highlight w:val="none"/>
              </w:rPr>
            </w:pPr>
            <w:r>
              <w:rPr>
                <w:rFonts w:hint="eastAsia" w:ascii="宋体" w:hAnsi="宋体" w:cs="宋体"/>
                <w:szCs w:val="21"/>
                <w:highlight w:val="none"/>
              </w:rPr>
              <w:t>卫生</w:t>
            </w:r>
          </w:p>
          <w:p>
            <w:pPr>
              <w:shd w:val="clear"/>
              <w:jc w:val="center"/>
              <w:rPr>
                <w:rFonts w:ascii="宋体" w:hAnsi="宋体" w:cs="宋体"/>
                <w:szCs w:val="21"/>
                <w:highlight w:val="none"/>
              </w:rPr>
            </w:pPr>
            <w:r>
              <w:rPr>
                <w:rFonts w:hint="eastAsia" w:ascii="宋体" w:hAnsi="宋体" w:cs="宋体"/>
                <w:szCs w:val="21"/>
                <w:highlight w:val="none"/>
              </w:rPr>
              <w:t>绿化</w:t>
            </w: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保持园区主要干道、各楼道（包括楼道内墙壁、门窗等广告的清理）、洗手间、电梯轿箱、水景的清洁卫生，未按要求、未按期打扫、清理或明显不清洁</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960" w:type="dxa"/>
            <w:vMerge w:val="continue"/>
            <w:tcBorders>
              <w:tl2br w:val="nil"/>
              <w:tr2bl w:val="nil"/>
            </w:tcBorders>
            <w:vAlign w:val="bottom"/>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楼道扶手及电梯轿箱抹擦和拖地，未按期打扫或明显不清洁</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定期检查或随机抽查现场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3</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地下停车场、草坪灯、楼宇门、信报箱等未按期打扫或明显不清洁</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p>
            <w:pPr>
              <w:shd w:val="clear"/>
              <w:jc w:val="center"/>
              <w:rPr>
                <w:rFonts w:ascii="宋体" w:hAnsi="宋体" w:cs="宋体"/>
                <w:szCs w:val="21"/>
                <w:highlight w:val="none"/>
              </w:rPr>
            </w:pP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4</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指示标牌、垃圾箱及园区走廊等地面有明显浮尘或污迹</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2分/项</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定期检查或随机抽查现场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4"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5</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因装修管理不力，装潢垃圾未按指定地点存放或未及时组织外运</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定期检查或随机抽查现场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9"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6</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未及时与环卫部门联系，对园区各垃圾池、箱定期及时清理</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定期检查或随机抽查现场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7</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未定期清理屋顶露台，以防爆竹渣、塑</w:t>
            </w:r>
          </w:p>
          <w:p>
            <w:pPr>
              <w:shd w:val="clear"/>
              <w:rPr>
                <w:rFonts w:ascii="宋体" w:hAnsi="宋体" w:cs="宋体"/>
                <w:szCs w:val="21"/>
                <w:highlight w:val="none"/>
              </w:rPr>
            </w:pPr>
            <w:r>
              <w:rPr>
                <w:rFonts w:hint="eastAsia" w:ascii="宋体" w:hAnsi="宋体" w:cs="宋体"/>
                <w:szCs w:val="21"/>
                <w:highlight w:val="none"/>
              </w:rPr>
              <w:t>料袋等杂物堵塞下水口</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查记录、现场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4"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8</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未按要求加强园区绿化的护理，定期浇水、施肥、剪枝、治虫</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9</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未做好垃圾分类及创文工作（包括对园区租户的宣传，相关标识的张贴等），未及时按照有关部门新发布的工作要求进行调整导致园区被扣分的</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960" w:type="dxa"/>
            <w:vMerge w:val="restart"/>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其他</w:t>
            </w:r>
          </w:p>
          <w:p>
            <w:pPr>
              <w:shd w:val="clear"/>
              <w:jc w:val="center"/>
              <w:rPr>
                <w:rFonts w:ascii="宋体" w:hAnsi="宋体" w:cs="宋体"/>
                <w:szCs w:val="21"/>
                <w:highlight w:val="none"/>
              </w:rPr>
            </w:pPr>
            <w:r>
              <w:rPr>
                <w:rFonts w:hint="eastAsia" w:ascii="宋体" w:hAnsi="宋体" w:cs="宋体"/>
                <w:szCs w:val="21"/>
                <w:highlight w:val="none"/>
              </w:rPr>
              <w:t>事项</w:t>
            </w: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未履行或违反合同约定事项和管理要求事项，视情节轻重予以扣分</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5-10分/项</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抽查、查记录、现场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对上述扣分事项，发出整改通知后未及时进行整改或采取整改措施的</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5-10分/项</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查记录</w:t>
            </w:r>
          </w:p>
        </w:tc>
      </w:tr>
    </w:tbl>
    <w:p>
      <w:pPr>
        <w:numPr>
          <w:ilvl w:val="0"/>
          <w:numId w:val="54"/>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检查发现问题时，由招标人直接扣分和发出整改通知。检查扣分和整改通知以招标人或招标人授权代表确认签名为准，</w:t>
      </w:r>
      <w:r>
        <w:rPr>
          <w:rFonts w:hint="eastAsia" w:ascii="宋体" w:hAnsi="宋体" w:cs="宋体"/>
          <w:kern w:val="0"/>
          <w:szCs w:val="21"/>
          <w:highlight w:val="none"/>
          <w:lang w:val="en-US" w:eastAsia="zh-CN"/>
        </w:rPr>
        <w:t>中标人或其指派服务人员</w:t>
      </w:r>
      <w:r>
        <w:rPr>
          <w:rFonts w:hint="eastAsia" w:ascii="宋体" w:hAnsi="宋体" w:cs="宋体"/>
          <w:kern w:val="0"/>
          <w:szCs w:val="21"/>
          <w:highlight w:val="none"/>
        </w:rPr>
        <w:t>无须签名确认。评核记录：物业日常工作的现场检查、记录表格、现场问答、客户投诉、视频图片、电子通讯等记录。</w:t>
      </w:r>
    </w:p>
    <w:p>
      <w:pPr>
        <w:numPr>
          <w:ilvl w:val="0"/>
          <w:numId w:val="54"/>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以上考核标准，招标人有权根据合同约定的服务内容、园区管理的实际需要对考核标准内容作出相应调整修改，招标人调整修改考核标准后应及时通知中标人，如中标人存在异议应自收到通知后两个工作日内提出，否则视为中标人同意招标人的调整修改意见。</w:t>
      </w:r>
    </w:p>
    <w:p>
      <w:pPr>
        <w:numPr>
          <w:ilvl w:val="0"/>
          <w:numId w:val="54"/>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招标人每月定期组织有关代表（招标人员工代表、园区运营单位代表、中标人员工代表）依据考核标准对中标人服务质量进行全面考核，根据考核指标逐项打分，对存在问题下发书面整改通知书，并可附带提供证言、照片、监控记录、刷卡记录等。每次检查总分为100分，考核组对照考核标准逐条逐项进行量化打分，最低为0分。</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处罚办法：</w:t>
      </w:r>
    </w:p>
    <w:p>
      <w:pPr>
        <w:numPr>
          <w:ilvl w:val="0"/>
          <w:numId w:val="5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得分 88—90分（不含）的，责令整改，并写出书面整改报告。</w:t>
      </w:r>
    </w:p>
    <w:p>
      <w:pPr>
        <w:numPr>
          <w:ilvl w:val="0"/>
          <w:numId w:val="5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得分 80—88分（不含）的，除了责令其整改，写出书面整改报告之外，扣除当月物业管理费用总额的10%。</w:t>
      </w:r>
    </w:p>
    <w:p>
      <w:pPr>
        <w:numPr>
          <w:ilvl w:val="0"/>
          <w:numId w:val="5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得分 70—80分（不含）的，除了责令其整改，写出书面整改报告之外，扣除当月物业管理费用总额的20%。</w:t>
      </w:r>
    </w:p>
    <w:p>
      <w:pPr>
        <w:numPr>
          <w:ilvl w:val="0"/>
          <w:numId w:val="5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得分不满70分，除了责令其整改，写出书面整改报告之外，扣除当月物业管理费用总额的30%。</w:t>
      </w:r>
    </w:p>
    <w:p>
      <w:pPr>
        <w:numPr>
          <w:ilvl w:val="0"/>
          <w:numId w:val="5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连续两个月得分不满80分，招标人有权要求中标人撤换项目经理或相应工作主管负责人，所产生的费用及责任由中标人承担。</w:t>
      </w:r>
    </w:p>
    <w:p>
      <w:pPr>
        <w:numPr>
          <w:ilvl w:val="0"/>
          <w:numId w:val="5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一个合同年内累计有三个月得分不满70分的，除扣除相应物业管理费用外，招标人有权单方解除合同并不予退还履约保证金而无需承担任何违约责任，中标人须与招标人聘请的新物业管理服务企业办妥相关的交接手续。</w:t>
      </w:r>
    </w:p>
    <w:p>
      <w:pPr>
        <w:numPr>
          <w:ilvl w:val="0"/>
          <w:numId w:val="53"/>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年度考核</w:t>
      </w:r>
    </w:p>
    <w:p>
      <w:pPr>
        <w:shd w:val="clear"/>
        <w:adjustRightInd w:val="0"/>
        <w:snapToGrid w:val="0"/>
        <w:spacing w:line="360" w:lineRule="auto"/>
        <w:ind w:left="359" w:leftChars="171" w:firstLine="472" w:firstLineChars="225"/>
        <w:rPr>
          <w:highlight w:val="none"/>
        </w:rPr>
      </w:pPr>
      <w:r>
        <w:rPr>
          <w:rFonts w:hint="eastAsia" w:ascii="宋体" w:hAnsi="宋体" w:cs="宋体"/>
          <w:kern w:val="0"/>
          <w:szCs w:val="21"/>
          <w:highlight w:val="none"/>
        </w:rPr>
        <w:t>招标人每合同年年末制定并组织向企业发放《物业管理服务满意度调查表》，园区租户通过调查表反映中标人的工作情况。每次调查满意度最高值100%，园区租户对中标人的工作情况平均满意率低于80%的，招标人有权单方解除合同并不予退还履约保证金而无需承担任何违约责任，中标人须与招标人聘请的新物业管理服务企业办妥相关的交接手续。</w:t>
      </w:r>
    </w:p>
    <w:p>
      <w:pPr>
        <w:numPr>
          <w:ilvl w:val="0"/>
          <w:numId w:val="13"/>
        </w:numPr>
        <w:shd w:val="clear"/>
        <w:adjustRightInd w:val="0"/>
        <w:snapToGrid w:val="0"/>
        <w:spacing w:line="360" w:lineRule="auto"/>
        <w:ind w:left="1109" w:hanging="689"/>
        <w:rPr>
          <w:rFonts w:ascii="宋体" w:hAnsi="宋体" w:cs="宋体"/>
          <w:b/>
          <w:bCs/>
          <w:kern w:val="0"/>
          <w:szCs w:val="21"/>
          <w:highlight w:val="none"/>
        </w:rPr>
      </w:pPr>
      <w:r>
        <w:rPr>
          <w:rFonts w:hint="eastAsia" w:ascii="宋体" w:hAnsi="宋体" w:cs="宋体"/>
          <w:b/>
          <w:bCs/>
          <w:kern w:val="0"/>
          <w:szCs w:val="21"/>
          <w:highlight w:val="none"/>
        </w:rPr>
        <w:t>履约保证金</w:t>
      </w:r>
    </w:p>
    <w:p>
      <w:pPr>
        <w:numPr>
          <w:ilvl w:val="0"/>
          <w:numId w:val="5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中标人需在合同签订之日起10个工作日内将履约保证金（合同总金额的5%）</w:t>
      </w:r>
      <w:r>
        <w:rPr>
          <w:rFonts w:hint="eastAsia" w:ascii="宋体" w:hAnsi="宋体" w:cs="宋体"/>
          <w:szCs w:val="21"/>
          <w:highlight w:val="none"/>
        </w:rPr>
        <w:t>汇至招标人指定账户</w:t>
      </w:r>
      <w:r>
        <w:rPr>
          <w:rFonts w:hint="eastAsia" w:ascii="宋体" w:hAnsi="宋体" w:cs="宋体"/>
          <w:kern w:val="0"/>
          <w:szCs w:val="21"/>
          <w:highlight w:val="none"/>
        </w:rPr>
        <w:t>，招标人收取履约保证金后应向中标人开具收款凭证。合同终止后在满足合同相关条款规定且中标人已切实履行与本项目有关的涉及人、财、物、事的所有责任与义务，且合同期满并完成结算和移交工作（包括但不限于</w:t>
      </w:r>
      <w:r>
        <w:rPr>
          <w:rFonts w:hint="eastAsia" w:ascii="宋体" w:hAnsi="宋体" w:cs="宋体"/>
          <w:kern w:val="0"/>
          <w:szCs w:val="21"/>
          <w:highlight w:val="none"/>
          <w:lang w:val="en-US" w:eastAsia="zh-CN"/>
        </w:rPr>
        <w:t>租赁物业装修资料，电梯、电房、可修复电器设备设施、消防器材、绿化、消杀等日常维护及检查工作记录</w:t>
      </w:r>
      <w:r>
        <w:rPr>
          <w:rFonts w:hint="eastAsia" w:ascii="宋体" w:hAnsi="宋体" w:cs="宋体"/>
          <w:kern w:val="0"/>
          <w:szCs w:val="21"/>
          <w:highlight w:val="none"/>
        </w:rPr>
        <w:t>）经招标人确认之日起的60 天内，中标人须携带收款凭证原件提交给招标人，招标人应将履约保证金不计利息划回中标人账户。</w:t>
      </w:r>
    </w:p>
    <w:p>
      <w:pPr>
        <w:numPr>
          <w:ilvl w:val="0"/>
          <w:numId w:val="5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合同终止后若中标人有意拖延、拒绝履行与本项目有关的涉及人、财、物、事等方面责任与义务或处理不力时，招标人有权动用履约保证金，解决前述相关事项问题和偿付招标人因此造成的损失，中标人不得有异议。若履约保证金不足以偿付上述解决、处理费用以及招标人的损失时，中标人应继续承担赔偿责任。</w:t>
      </w:r>
    </w:p>
    <w:p>
      <w:pPr>
        <w:numPr>
          <w:ilvl w:val="0"/>
          <w:numId w:val="5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中标人必须在签订合同生效、收到招标人进场通知后15个日历天内按招标人要求配置齐全部人员、车辆和设备，同时承诺上述全部人员、车辆和设备必须专门用于本项目。否则，招标人有权没收中标人的履约保证金，并解除合同。</w:t>
      </w:r>
    </w:p>
    <w:p>
      <w:pPr>
        <w:numPr>
          <w:ilvl w:val="0"/>
          <w:numId w:val="13"/>
        </w:numPr>
        <w:shd w:val="clear"/>
        <w:adjustRightInd w:val="0"/>
        <w:snapToGrid w:val="0"/>
        <w:spacing w:line="360" w:lineRule="auto"/>
        <w:ind w:left="1109" w:hanging="689"/>
        <w:rPr>
          <w:rFonts w:ascii="宋体" w:hAnsi="宋体" w:cs="宋体"/>
          <w:b/>
          <w:bCs/>
          <w:szCs w:val="21"/>
          <w:highlight w:val="none"/>
        </w:rPr>
      </w:pPr>
      <w:r>
        <w:rPr>
          <w:rFonts w:hint="eastAsia" w:ascii="宋体" w:hAnsi="宋体" w:cs="宋体"/>
          <w:b/>
          <w:bCs/>
          <w:kern w:val="0"/>
          <w:szCs w:val="21"/>
          <w:highlight w:val="none"/>
        </w:rPr>
        <w:t>付款</w:t>
      </w:r>
      <w:r>
        <w:rPr>
          <w:rFonts w:hint="eastAsia" w:ascii="宋体" w:hAnsi="宋体" w:cs="宋体"/>
          <w:b/>
          <w:bCs/>
          <w:szCs w:val="21"/>
          <w:highlight w:val="none"/>
        </w:rPr>
        <w:t>方式</w:t>
      </w:r>
    </w:p>
    <w:p>
      <w:pPr>
        <w:numPr>
          <w:ilvl w:val="0"/>
          <w:numId w:val="5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合同生效后，招标人在服务期限内按月支付物业管理服务费。结合物业管理服务质量考核情况、园区承担维修扣除费用情况</w:t>
      </w:r>
      <w:r>
        <w:rPr>
          <w:rFonts w:hint="eastAsia" w:ascii="宋体" w:hAnsi="宋体" w:cs="宋体"/>
          <w:kern w:val="0"/>
          <w:szCs w:val="21"/>
          <w:highlight w:val="none"/>
          <w:lang w:eastAsia="zh-CN"/>
        </w:rPr>
        <w:t>，</w:t>
      </w:r>
      <w:r>
        <w:rPr>
          <w:rFonts w:hint="eastAsia" w:ascii="宋体" w:hAnsi="宋体" w:cs="宋体"/>
          <w:kern w:val="0"/>
          <w:szCs w:val="21"/>
          <w:highlight w:val="none"/>
        </w:rPr>
        <w:t>招标人收到中标人提交的依法纳税的有效等额服务费增值税</w:t>
      </w:r>
      <w:r>
        <w:rPr>
          <w:rFonts w:hint="eastAsia" w:ascii="宋体" w:hAnsi="宋体" w:cs="宋体"/>
          <w:kern w:val="0"/>
          <w:szCs w:val="21"/>
          <w:highlight w:val="none"/>
          <w:lang w:val="en-US" w:eastAsia="zh-CN"/>
        </w:rPr>
        <w:t>专用</w:t>
      </w:r>
      <w:r>
        <w:rPr>
          <w:rFonts w:hint="eastAsia" w:ascii="宋体" w:hAnsi="宋体" w:cs="宋体"/>
          <w:kern w:val="0"/>
          <w:szCs w:val="21"/>
          <w:highlight w:val="none"/>
        </w:rPr>
        <w:t>发票后，于每月的30日前支付上一个月的物管费用，物业管理服务费用以转账方式转入中标人的银行账户。</w:t>
      </w:r>
    </w:p>
    <w:p>
      <w:pPr>
        <w:numPr>
          <w:ilvl w:val="0"/>
          <w:numId w:val="5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每</w:t>
      </w:r>
      <w:r>
        <w:rPr>
          <w:rFonts w:hint="eastAsia" w:hAnsi="宋体" w:cs="宋体"/>
          <w:kern w:val="0"/>
          <w:highlight w:val="none"/>
        </w:rPr>
        <w:t>月物业管理费用＝</w:t>
      </w:r>
      <w:r>
        <w:rPr>
          <w:rFonts w:hint="eastAsia" w:ascii="宋体" w:hAnsi="宋体" w:cs="宋体"/>
          <w:kern w:val="0"/>
          <w:highlight w:val="none"/>
        </w:rPr>
        <w:t>合同总价（2年服务期服务总费用）÷24个月-月度考核</w:t>
      </w:r>
      <w:r>
        <w:rPr>
          <w:rFonts w:hint="eastAsia" w:hAnsi="宋体" w:cs="宋体"/>
          <w:kern w:val="0"/>
          <w:highlight w:val="none"/>
        </w:rPr>
        <w:t>、招标人承担维修项目扣除的物业管理费（如有）</w:t>
      </w:r>
      <w:r>
        <w:rPr>
          <w:rFonts w:hint="eastAsia" w:ascii="宋体" w:hAnsi="宋体" w:cs="宋体"/>
          <w:kern w:val="0"/>
          <w:szCs w:val="21"/>
          <w:highlight w:val="none"/>
        </w:rPr>
        <w:t>。</w:t>
      </w:r>
    </w:p>
    <w:p>
      <w:pPr>
        <w:numPr>
          <w:ilvl w:val="0"/>
          <w:numId w:val="5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中标人为招标人提供服务期间，有临时增加或超出本项目范围的费用，由双方另行商议</w:t>
      </w:r>
      <w:r>
        <w:rPr>
          <w:rFonts w:hint="eastAsia" w:ascii="宋体" w:hAnsi="宋体" w:cs="宋体"/>
          <w:kern w:val="0"/>
          <w:szCs w:val="21"/>
          <w:highlight w:val="none"/>
          <w:lang w:eastAsia="zh-CN"/>
        </w:rPr>
        <w:t>。</w:t>
      </w:r>
      <w:r>
        <w:rPr>
          <w:rFonts w:hint="eastAsia" w:ascii="宋体" w:hAnsi="宋体" w:cs="宋体"/>
          <w:kern w:val="0"/>
          <w:szCs w:val="21"/>
          <w:highlight w:val="none"/>
        </w:rPr>
        <w:t>未经</w:t>
      </w:r>
      <w:r>
        <w:rPr>
          <w:rFonts w:hint="eastAsia" w:ascii="宋体" w:hAnsi="宋体" w:cs="宋体"/>
          <w:kern w:val="0"/>
          <w:szCs w:val="21"/>
          <w:highlight w:val="none"/>
          <w:lang w:val="en-US" w:eastAsia="zh-CN"/>
        </w:rPr>
        <w:t>招</w:t>
      </w:r>
      <w:r>
        <w:rPr>
          <w:rFonts w:hint="eastAsia" w:ascii="宋体" w:hAnsi="宋体" w:cs="宋体"/>
          <w:kern w:val="0"/>
          <w:szCs w:val="21"/>
          <w:highlight w:val="none"/>
          <w:lang w:eastAsia="zh-CN"/>
        </w:rPr>
        <w:t>标人</w:t>
      </w:r>
      <w:r>
        <w:rPr>
          <w:rFonts w:hint="eastAsia" w:ascii="宋体" w:hAnsi="宋体" w:cs="宋体"/>
          <w:kern w:val="0"/>
          <w:szCs w:val="21"/>
          <w:highlight w:val="none"/>
        </w:rPr>
        <w:t>书面同意，对于</w:t>
      </w:r>
      <w:r>
        <w:rPr>
          <w:rFonts w:hint="eastAsia" w:ascii="宋体" w:hAnsi="宋体" w:cs="宋体"/>
          <w:kern w:val="0"/>
          <w:szCs w:val="21"/>
          <w:highlight w:val="none"/>
          <w:lang w:val="en-US" w:eastAsia="zh-CN"/>
        </w:rPr>
        <w:t>中标人</w:t>
      </w:r>
      <w:r>
        <w:rPr>
          <w:rFonts w:hint="eastAsia" w:ascii="宋体" w:hAnsi="宋体" w:cs="宋体"/>
          <w:kern w:val="0"/>
          <w:szCs w:val="21"/>
          <w:highlight w:val="none"/>
        </w:rPr>
        <w:t>临时增加或超出本项目范围的费用，</w:t>
      </w:r>
      <w:r>
        <w:rPr>
          <w:rFonts w:hint="eastAsia" w:ascii="宋体" w:hAnsi="宋体" w:cs="宋体"/>
          <w:kern w:val="0"/>
          <w:szCs w:val="21"/>
          <w:highlight w:val="none"/>
          <w:lang w:eastAsia="zh-CN"/>
        </w:rPr>
        <w:t>招标人</w:t>
      </w:r>
      <w:r>
        <w:rPr>
          <w:rFonts w:hint="eastAsia" w:ascii="宋体" w:hAnsi="宋体" w:cs="宋体"/>
          <w:kern w:val="0"/>
          <w:szCs w:val="21"/>
          <w:highlight w:val="none"/>
        </w:rPr>
        <w:t>有权不承担。</w:t>
      </w:r>
    </w:p>
    <w:p>
      <w:pPr>
        <w:shd w:val="clear"/>
        <w:autoSpaceDE w:val="0"/>
        <w:autoSpaceDN w:val="0"/>
        <w:spacing w:line="460" w:lineRule="exact"/>
        <w:ind w:firstLine="630" w:firstLineChars="300"/>
        <w:rPr>
          <w:rFonts w:ascii="宋体" w:hAnsi="宋体" w:cs="宋体"/>
          <w:kern w:val="0"/>
          <w:szCs w:val="21"/>
          <w:highlight w:val="none"/>
        </w:rPr>
      </w:pPr>
    </w:p>
    <w:p>
      <w:pPr>
        <w:shd w:val="clear"/>
        <w:rPr>
          <w:rFonts w:ascii="Times New Roman" w:hAnsi="Times New Roman"/>
          <w:b/>
          <w:bCs/>
          <w:sz w:val="28"/>
          <w:szCs w:val="28"/>
          <w:highlight w:val="none"/>
        </w:rPr>
      </w:pPr>
      <w:bookmarkStart w:id="3" w:name="_Toc24320"/>
      <w:r>
        <w:rPr>
          <w:rFonts w:hint="eastAsia" w:ascii="Times New Roman" w:hAnsi="Times New Roman"/>
          <w:b/>
          <w:bCs/>
          <w:sz w:val="28"/>
          <w:szCs w:val="28"/>
          <w:highlight w:val="none"/>
        </w:rPr>
        <w:br w:type="page"/>
      </w:r>
    </w:p>
    <w:p>
      <w:pPr>
        <w:pStyle w:val="66"/>
        <w:shd w:val="clear"/>
        <w:spacing w:line="360" w:lineRule="auto"/>
        <w:jc w:val="both"/>
        <w:rPr>
          <w:rFonts w:ascii="宋体" w:hAnsi="宋体" w:cs="宋体"/>
          <w:sz w:val="21"/>
          <w:szCs w:val="21"/>
          <w:highlight w:val="none"/>
        </w:rPr>
      </w:pPr>
      <w:r>
        <w:rPr>
          <w:rFonts w:hint="eastAsia" w:ascii="宋体" w:hAnsi="宋体" w:cs="宋体"/>
          <w:sz w:val="21"/>
          <w:szCs w:val="21"/>
          <w:highlight w:val="none"/>
        </w:rPr>
        <w:t>附件1  千灯湖创投特色小镇核心区规划平面图</w:t>
      </w:r>
    </w:p>
    <w:p>
      <w:pPr>
        <w:shd w:val="clear"/>
        <w:rPr>
          <w:rFonts w:ascii="宋体" w:hAnsi="宋体" w:cs="宋体"/>
          <w:szCs w:val="21"/>
          <w:highlight w:val="none"/>
        </w:rPr>
      </w:pPr>
      <w:r>
        <w:rPr>
          <w:rFonts w:hint="eastAsia" w:ascii="宋体" w:hAnsi="宋体" w:cs="宋体"/>
          <w:szCs w:val="21"/>
          <w:highlight w:val="none"/>
        </w:rPr>
        <w:drawing>
          <wp:inline distT="0" distB="0" distL="114300" distR="114300">
            <wp:extent cx="5816600" cy="8131810"/>
            <wp:effectExtent l="0" t="0" r="12700" b="2540"/>
            <wp:docPr id="12" name="图片 12" descr="71d2efcdddda59f785a139123cb1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1d2efcdddda59f785a139123cb172a"/>
                    <pic:cNvPicPr>
                      <a:picLocks noChangeAspect="1"/>
                    </pic:cNvPicPr>
                  </pic:nvPicPr>
                  <pic:blipFill>
                    <a:blip r:embed="rId12"/>
                    <a:stretch>
                      <a:fillRect/>
                    </a:stretch>
                  </pic:blipFill>
                  <pic:spPr>
                    <a:xfrm>
                      <a:off x="0" y="0"/>
                      <a:ext cx="5816600" cy="8131810"/>
                    </a:xfrm>
                    <a:prstGeom prst="rect">
                      <a:avLst/>
                    </a:prstGeom>
                  </pic:spPr>
                </pic:pic>
              </a:graphicData>
            </a:graphic>
          </wp:inline>
        </w:drawing>
      </w:r>
    </w:p>
    <w:p>
      <w:pPr>
        <w:shd w:val="clear"/>
        <w:adjustRightInd w:val="0"/>
        <w:snapToGrid w:val="0"/>
        <w:spacing w:before="156" w:beforeLines="50" w:after="156" w:afterLines="50" w:line="360" w:lineRule="auto"/>
        <w:jc w:val="center"/>
        <w:outlineLvl w:val="0"/>
        <w:rPr>
          <w:rFonts w:ascii="宋体" w:hAnsi="宋体" w:cs="宋体"/>
          <w:b/>
          <w:bCs/>
          <w:szCs w:val="21"/>
          <w:highlight w:val="none"/>
        </w:rPr>
      </w:pPr>
      <w:r>
        <w:rPr>
          <w:rFonts w:hint="eastAsia" w:ascii="Times New Roman" w:hAnsi="Times New Roman"/>
          <w:b/>
          <w:bCs/>
          <w:sz w:val="28"/>
          <w:szCs w:val="28"/>
          <w:highlight w:val="none"/>
        </w:rPr>
        <w:t>第四章  评分体系与标准</w:t>
      </w:r>
      <w:bookmarkEnd w:id="3"/>
    </w:p>
    <w:p>
      <w:pPr>
        <w:numPr>
          <w:ilvl w:val="0"/>
          <w:numId w:val="58"/>
        </w:numPr>
        <w:shd w:val="clear"/>
        <w:tabs>
          <w:tab w:val="left" w:pos="630"/>
        </w:tabs>
        <w:autoSpaceDE w:val="0"/>
        <w:autoSpaceDN w:val="0"/>
        <w:spacing w:line="360" w:lineRule="auto"/>
        <w:rPr>
          <w:rFonts w:ascii="宋体" w:cs="宋体"/>
          <w:szCs w:val="21"/>
          <w:highlight w:val="none"/>
        </w:rPr>
      </w:pPr>
      <w:r>
        <w:rPr>
          <w:rFonts w:hint="eastAsia" w:ascii="宋体" w:cs="宋体"/>
          <w:szCs w:val="21"/>
          <w:highlight w:val="none"/>
        </w:rPr>
        <w:t>本评标办法采用综合评分法。</w:t>
      </w:r>
    </w:p>
    <w:p>
      <w:pPr>
        <w:numPr>
          <w:ilvl w:val="0"/>
          <w:numId w:val="58"/>
        </w:numPr>
        <w:shd w:val="clear"/>
        <w:tabs>
          <w:tab w:val="left" w:pos="630"/>
        </w:tabs>
        <w:autoSpaceDE w:val="0"/>
        <w:autoSpaceDN w:val="0"/>
        <w:spacing w:line="360" w:lineRule="auto"/>
        <w:rPr>
          <w:rFonts w:ascii="宋体" w:cs="宋体"/>
          <w:szCs w:val="21"/>
          <w:highlight w:val="none"/>
        </w:rPr>
      </w:pPr>
      <w:r>
        <w:rPr>
          <w:rFonts w:hint="eastAsia" w:ascii="宋体" w:cs="宋体"/>
          <w:szCs w:val="21"/>
          <w:highlight w:val="none"/>
        </w:rPr>
        <w:t>评标步骤：招标人或招标代理机构对投标人资格进行审查；评标委员会对符合资格的投标人的投标文件进行符合性审查，对符合性审查合格的投标文件进行技术、商务及价格的详细评审最后评标委员会出具评标报告。</w:t>
      </w:r>
    </w:p>
    <w:p>
      <w:pPr>
        <w:numPr>
          <w:ilvl w:val="0"/>
          <w:numId w:val="58"/>
        </w:numPr>
        <w:shd w:val="clear"/>
        <w:tabs>
          <w:tab w:val="left" w:pos="630"/>
        </w:tabs>
        <w:autoSpaceDE w:val="0"/>
        <w:autoSpaceDN w:val="0"/>
        <w:spacing w:line="360" w:lineRule="auto"/>
        <w:rPr>
          <w:rFonts w:ascii="宋体" w:cs="宋体"/>
          <w:szCs w:val="21"/>
          <w:highlight w:val="none"/>
        </w:rPr>
      </w:pPr>
      <w:r>
        <w:rPr>
          <w:rFonts w:hint="eastAsia" w:ascii="宋体" w:hAnsi="宋体"/>
          <w:szCs w:val="21"/>
          <w:highlight w:val="none"/>
        </w:rPr>
        <w:t>评标委员会成员对需要共同认定的事项存在争议的，按照少数服从多数的原则作出结论。</w:t>
      </w:r>
    </w:p>
    <w:p>
      <w:pPr>
        <w:numPr>
          <w:ilvl w:val="0"/>
          <w:numId w:val="58"/>
        </w:numPr>
        <w:shd w:val="clear"/>
        <w:tabs>
          <w:tab w:val="left" w:pos="630"/>
        </w:tabs>
        <w:autoSpaceDE w:val="0"/>
        <w:autoSpaceDN w:val="0"/>
        <w:spacing w:line="360" w:lineRule="auto"/>
        <w:rPr>
          <w:rFonts w:ascii="宋体" w:hAnsi="宋体" w:cs="宋体"/>
          <w:szCs w:val="21"/>
          <w:highlight w:val="none"/>
        </w:rPr>
      </w:pPr>
      <w:r>
        <w:rPr>
          <w:rFonts w:hint="eastAsia" w:ascii="宋体" w:cs="宋体"/>
          <w:szCs w:val="21"/>
          <w:highlight w:val="none"/>
        </w:rPr>
        <w:t>评分及其统计：按照评标程序、评分标准以及权重分配的规定，评标委员会各成员分别就各个投标人的技术状况、商务状况及其对招标文件要求的响应情况进行评议和比较，评出其技术评分和商务评分、价格评分相加得出其综合得分。</w:t>
      </w:r>
    </w:p>
    <w:p>
      <w:pPr>
        <w:shd w:val="clear"/>
        <w:adjustRightInd w:val="0"/>
        <w:snapToGrid w:val="0"/>
        <w:spacing w:before="156" w:beforeLines="50" w:after="156" w:afterLines="50" w:line="360" w:lineRule="auto"/>
        <w:jc w:val="center"/>
        <w:rPr>
          <w:rFonts w:ascii="黑体" w:hAnsi="宋体" w:eastAsia="黑体" w:cs="宋体"/>
          <w:sz w:val="28"/>
          <w:szCs w:val="28"/>
          <w:highlight w:val="none"/>
        </w:rPr>
      </w:pPr>
      <w:r>
        <w:rPr>
          <w:rFonts w:hint="eastAsia" w:ascii="黑体" w:hAnsi="宋体" w:eastAsia="黑体" w:cs="宋体"/>
          <w:sz w:val="28"/>
          <w:szCs w:val="28"/>
          <w:highlight w:val="none"/>
        </w:rPr>
        <w:t>资格性和符合性审查条款</w:t>
      </w:r>
    </w:p>
    <w:p>
      <w:pPr>
        <w:shd w:val="clear"/>
        <w:spacing w:line="360" w:lineRule="auto"/>
        <w:rPr>
          <w:snapToGrid w:val="0"/>
          <w:spacing w:val="8"/>
          <w:highlight w:val="none"/>
        </w:rPr>
      </w:pPr>
      <w:r>
        <w:rPr>
          <w:rFonts w:hint="eastAsia" w:ascii="宋体" w:hAnsi="宋体" w:cs="宋体"/>
          <w:highlight w:val="none"/>
        </w:rPr>
        <w:t>项目名称：千灯湖创投特色小镇核心区物业管理服务</w:t>
      </w:r>
    </w:p>
    <w:p>
      <w:pPr>
        <w:shd w:val="clear"/>
        <w:spacing w:line="360" w:lineRule="auto"/>
        <w:rPr>
          <w:highlight w:val="none"/>
        </w:rPr>
      </w:pPr>
      <w:r>
        <w:rPr>
          <w:rFonts w:hint="eastAsia" w:ascii="宋体" w:hAnsi="宋体" w:cs="宋体"/>
          <w:highlight w:val="none"/>
        </w:rPr>
        <w:t>项目编号：</w:t>
      </w:r>
      <w:r>
        <w:rPr>
          <w:rFonts w:hint="eastAsia" w:ascii="宋体" w:hAnsi="宋体"/>
          <w:highlight w:val="none"/>
        </w:rPr>
        <w:t>BDGZ2023024</w:t>
      </w:r>
    </w:p>
    <w:tbl>
      <w:tblPr>
        <w:tblStyle w:val="22"/>
        <w:tblW w:w="9195"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5"/>
        <w:gridCol w:w="1202"/>
        <w:gridCol w:w="68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78" w:hRule="atLeast"/>
        </w:trPr>
        <w:tc>
          <w:tcPr>
            <w:tcW w:w="1155" w:type="dxa"/>
            <w:vAlign w:val="center"/>
          </w:tcPr>
          <w:p>
            <w:pPr>
              <w:shd w:val="clear"/>
              <w:jc w:val="center"/>
              <w:rPr>
                <w:rFonts w:ascii="宋体" w:cs="宋体"/>
                <w:b/>
                <w:highlight w:val="none"/>
              </w:rPr>
            </w:pPr>
            <w:r>
              <w:rPr>
                <w:rStyle w:val="25"/>
                <w:rFonts w:ascii="宋体" w:hAnsi="宋体" w:cs="宋体"/>
                <w:highlight w:val="none"/>
              </w:rPr>
              <w:t>审查项目</w:t>
            </w:r>
          </w:p>
        </w:tc>
        <w:tc>
          <w:tcPr>
            <w:tcW w:w="8040" w:type="dxa"/>
            <w:gridSpan w:val="2"/>
            <w:vAlign w:val="center"/>
          </w:tcPr>
          <w:p>
            <w:pPr>
              <w:shd w:val="clear"/>
              <w:jc w:val="center"/>
              <w:rPr>
                <w:rFonts w:ascii="宋体" w:cs="宋体"/>
                <w:b/>
                <w:highlight w:val="none"/>
              </w:rPr>
            </w:pPr>
            <w:r>
              <w:rPr>
                <w:rFonts w:hint="eastAsia" w:ascii="宋体" w:hAnsi="宋体" w:cs="宋体"/>
                <w:b/>
                <w:highlight w:val="none"/>
              </w:rPr>
              <w:t>评 审 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vMerge w:val="restart"/>
            <w:vAlign w:val="center"/>
          </w:tcPr>
          <w:p>
            <w:pPr>
              <w:shd w:val="clear"/>
              <w:jc w:val="center"/>
              <w:rPr>
                <w:rFonts w:ascii="宋体" w:cs="宋体"/>
                <w:highlight w:val="none"/>
              </w:rPr>
            </w:pPr>
            <w:r>
              <w:rPr>
                <w:rFonts w:ascii="宋体" w:cs="宋体"/>
                <w:highlight w:val="none"/>
              </w:rPr>
              <w:t>资格性审查</w:t>
            </w:r>
          </w:p>
        </w:tc>
        <w:tc>
          <w:tcPr>
            <w:tcW w:w="1202" w:type="dxa"/>
            <w:vMerge w:val="restart"/>
            <w:tcBorders>
              <w:right w:val="single" w:color="auto" w:sz="4" w:space="0"/>
            </w:tcBorders>
            <w:vAlign w:val="center"/>
          </w:tcPr>
          <w:p>
            <w:pPr>
              <w:shd w:val="clear"/>
              <w:jc w:val="center"/>
              <w:rPr>
                <w:rFonts w:ascii="宋体" w:hAnsi="宋体" w:cs="宋体"/>
                <w:b/>
                <w:highlight w:val="none"/>
              </w:rPr>
            </w:pPr>
            <w:r>
              <w:rPr>
                <w:rFonts w:ascii="宋体" w:hAnsi="宋体" w:cs="宋体"/>
                <w:highlight w:val="none"/>
              </w:rPr>
              <w:t>与</w:t>
            </w:r>
            <w:r>
              <w:rPr>
                <w:rFonts w:hint="eastAsia" w:ascii="宋体" w:hAnsi="宋体" w:cs="宋体"/>
                <w:highlight w:val="none"/>
              </w:rPr>
              <w:t>投标邀请函</w:t>
            </w:r>
            <w:r>
              <w:rPr>
                <w:rFonts w:ascii="宋体" w:hAnsi="宋体" w:cs="宋体"/>
                <w:highlight w:val="none"/>
              </w:rPr>
              <w:t>中</w:t>
            </w:r>
            <w:r>
              <w:rPr>
                <w:rFonts w:hint="eastAsia" w:ascii="宋体" w:hAnsi="宋体" w:cs="宋体"/>
                <w:highlight w:val="none"/>
              </w:rPr>
              <w:t>“</w:t>
            </w:r>
            <w:r>
              <w:rPr>
                <w:rFonts w:ascii="宋体" w:hAnsi="宋体" w:cs="宋体"/>
                <w:highlight w:val="none"/>
              </w:rPr>
              <w:t>供应商资格</w:t>
            </w:r>
            <w:r>
              <w:rPr>
                <w:rFonts w:hint="eastAsia" w:ascii="宋体" w:hAnsi="宋体" w:cs="宋体"/>
                <w:highlight w:val="none"/>
              </w:rPr>
              <w:t>”</w:t>
            </w:r>
            <w:r>
              <w:rPr>
                <w:rFonts w:ascii="宋体" w:hAnsi="宋体" w:cs="宋体"/>
                <w:highlight w:val="none"/>
              </w:rPr>
              <w:t>要求一致</w:t>
            </w:r>
            <w:r>
              <w:rPr>
                <w:rFonts w:hint="eastAsia" w:ascii="宋体" w:hAnsi="宋体" w:cs="宋体"/>
                <w:highlight w:val="none"/>
              </w:rPr>
              <w:t>；</w:t>
            </w:r>
          </w:p>
        </w:tc>
        <w:tc>
          <w:tcPr>
            <w:tcW w:w="6838" w:type="dxa"/>
            <w:tcBorders>
              <w:left w:val="single" w:color="auto" w:sz="4" w:space="0"/>
            </w:tcBorders>
            <w:vAlign w:val="center"/>
          </w:tcPr>
          <w:p>
            <w:pPr>
              <w:shd w:val="clear"/>
              <w:wordWrap w:val="0"/>
              <w:spacing w:line="288" w:lineRule="auto"/>
              <w:rPr>
                <w:rFonts w:ascii="宋体" w:hAnsi="宋体" w:cs="宋体"/>
                <w:bCs/>
                <w:szCs w:val="20"/>
                <w:highlight w:val="none"/>
              </w:rPr>
            </w:pPr>
            <w:r>
              <w:rPr>
                <w:rFonts w:hint="eastAsia" w:ascii="宋体" w:hAnsi="宋体" w:cs="宋体"/>
                <w:bCs/>
                <w:szCs w:val="20"/>
                <w:highlight w:val="none"/>
              </w:rPr>
              <w:t>具备以下资格条件，提供下列材料：</w:t>
            </w:r>
          </w:p>
          <w:p>
            <w:pPr>
              <w:numPr>
                <w:ilvl w:val="0"/>
                <w:numId w:val="59"/>
              </w:numPr>
              <w:shd w:val="clear"/>
              <w:spacing w:line="288" w:lineRule="auto"/>
              <w:rPr>
                <w:rFonts w:ascii="宋体" w:hAnsi="宋体" w:cs="宋体"/>
                <w:bCs/>
                <w:szCs w:val="21"/>
                <w:highlight w:val="none"/>
              </w:rPr>
            </w:pPr>
            <w:r>
              <w:rPr>
                <w:rFonts w:hint="eastAsia" w:ascii="宋体" w:hAnsi="宋体" w:cs="宋体"/>
                <w:bCs/>
                <w:szCs w:val="21"/>
                <w:highlight w:val="none"/>
              </w:rPr>
              <w:t>必须是具有独立承担民事责任能力的在中华人民共和国境内注册的法人（提供有效的营业执照复印件）。</w:t>
            </w:r>
          </w:p>
          <w:p>
            <w:pPr>
              <w:numPr>
                <w:ilvl w:val="0"/>
                <w:numId w:val="59"/>
              </w:numPr>
              <w:shd w:val="clear"/>
              <w:spacing w:line="288" w:lineRule="auto"/>
              <w:rPr>
                <w:rFonts w:ascii="宋体" w:hAnsi="宋体" w:cs="宋体"/>
                <w:bCs/>
                <w:szCs w:val="21"/>
                <w:highlight w:val="none"/>
              </w:rPr>
            </w:pPr>
            <w:r>
              <w:rPr>
                <w:rFonts w:hint="eastAsia" w:ascii="宋体" w:hAnsi="宋体" w:cs="宋体"/>
                <w:bCs/>
                <w:szCs w:val="21"/>
                <w:highlight w:val="none"/>
              </w:rPr>
              <w:t>财务会计制度，须提供下列任一项证明材料：</w:t>
            </w:r>
          </w:p>
          <w:p>
            <w:pPr>
              <w:shd w:val="clear"/>
              <w:spacing w:line="288" w:lineRule="auto"/>
              <w:rPr>
                <w:rFonts w:ascii="宋体" w:hAnsi="宋体" w:cs="宋体"/>
                <w:bCs/>
                <w:szCs w:val="21"/>
                <w:highlight w:val="none"/>
              </w:rPr>
            </w:pPr>
            <w:r>
              <w:rPr>
                <w:rFonts w:hint="eastAsia" w:ascii="宋体" w:hAnsi="宋体" w:cs="宋体"/>
                <w:bCs/>
                <w:szCs w:val="21"/>
                <w:highlight w:val="none"/>
              </w:rPr>
              <w:t>(1)提供2021年度或2022年度经第三方会计师事务所出具财务报告（包括资产负债表、利润表、现金流量表、所有者权益变动表及其附注），并能清晰显示第三方会计师事务所的印章和注册会计师签字盖章，且能反映审计结论(要求：审计报告由第三方会计师事务所或其它合法审计机构出具，须包含会计师事务所或审计机构的盖章页)。</w:t>
            </w:r>
          </w:p>
          <w:p>
            <w:pPr>
              <w:shd w:val="clear"/>
              <w:spacing w:line="288" w:lineRule="auto"/>
              <w:rPr>
                <w:rFonts w:ascii="宋体" w:hAnsi="宋体" w:cs="宋体"/>
                <w:bCs/>
                <w:szCs w:val="21"/>
                <w:highlight w:val="none"/>
              </w:rPr>
            </w:pPr>
            <w:r>
              <w:rPr>
                <w:rFonts w:hint="eastAsia" w:ascii="宋体" w:hAnsi="宋体" w:cs="宋体"/>
                <w:bCs/>
                <w:szCs w:val="21"/>
                <w:highlight w:val="none"/>
              </w:rPr>
              <w:t>(2)基本开户银行出具的资信证明【要求：提供投标截止之日前6个月内（含投标截止时间当月）任意一个月出具的资信证明。如资信证明不能体现基本开户账户的，应另附开户许可证（无开户许可证的，可提供由银行开具的《基本存款账户信息》（公户账户主档）或其他能反应资信证明是基本开户银行出具的证明材料】。</w:t>
            </w:r>
          </w:p>
          <w:p>
            <w:pPr>
              <w:numPr>
                <w:ilvl w:val="0"/>
                <w:numId w:val="59"/>
              </w:numPr>
              <w:shd w:val="clear"/>
              <w:spacing w:line="288" w:lineRule="auto"/>
              <w:rPr>
                <w:rFonts w:ascii="宋体" w:hAnsi="宋体" w:cs="宋体"/>
                <w:kern w:val="0"/>
                <w:szCs w:val="21"/>
                <w:highlight w:val="none"/>
              </w:rPr>
            </w:pPr>
            <w:r>
              <w:rPr>
                <w:rFonts w:hint="eastAsia" w:ascii="宋体" w:hAnsi="宋体" w:cs="宋体"/>
                <w:bCs/>
                <w:szCs w:val="21"/>
                <w:highlight w:val="none"/>
              </w:rPr>
              <w:t>提供投标截止日前6个月内（含投标截止时间当月）任意1个月依法缴纳税收和社会保障资金的相关材料。如依法免税或不需要缴纳社会保障资金的，提供相应证明材料。</w:t>
            </w:r>
          </w:p>
          <w:p>
            <w:pPr>
              <w:numPr>
                <w:ilvl w:val="0"/>
                <w:numId w:val="59"/>
              </w:numPr>
              <w:shd w:val="clear"/>
              <w:spacing w:line="288" w:lineRule="auto"/>
              <w:rPr>
                <w:rFonts w:ascii="宋体" w:hAnsi="宋体" w:cs="宋体"/>
                <w:kern w:val="0"/>
                <w:szCs w:val="21"/>
                <w:highlight w:val="none"/>
              </w:rPr>
            </w:pPr>
            <w:r>
              <w:rPr>
                <w:rFonts w:hint="eastAsia" w:ascii="宋体" w:hAnsi="宋体" w:cs="宋体"/>
                <w:szCs w:val="21"/>
                <w:highlight w:val="none"/>
              </w:rPr>
              <w:t>履行合同所必需的设备和专业技术能力的书面声明（提供《投标人资格声明函》）。</w:t>
            </w:r>
          </w:p>
          <w:p>
            <w:pPr>
              <w:numPr>
                <w:ilvl w:val="0"/>
                <w:numId w:val="59"/>
              </w:numPr>
              <w:shd w:val="clear"/>
              <w:spacing w:line="288" w:lineRule="auto"/>
              <w:rPr>
                <w:rFonts w:ascii="宋体" w:hAnsi="宋体" w:cs="宋体"/>
                <w:kern w:val="0"/>
                <w:szCs w:val="21"/>
                <w:highlight w:val="none"/>
              </w:rPr>
            </w:pPr>
            <w:r>
              <w:rPr>
                <w:rFonts w:hint="eastAsia" w:ascii="宋体" w:hAnsi="宋体" w:cs="宋体"/>
                <w:bCs/>
                <w:szCs w:val="21"/>
                <w:highlight w:val="none"/>
              </w:rPr>
              <w:t>参与本项目采购活动前三年内，在经营活动中没有重大违法记录的书面声明（提供《投标人资格声明函》）</w:t>
            </w:r>
            <w:r>
              <w:rPr>
                <w:rFonts w:hint="eastAsia" w:ascii="宋体" w:hAnsi="宋体" w:cs="宋体"/>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8" w:hRule="atLeast"/>
        </w:trPr>
        <w:tc>
          <w:tcPr>
            <w:tcW w:w="1155" w:type="dxa"/>
            <w:vMerge w:val="continue"/>
            <w:vAlign w:val="center"/>
          </w:tcPr>
          <w:p>
            <w:pPr>
              <w:shd w:val="clear"/>
              <w:jc w:val="center"/>
              <w:rPr>
                <w:rFonts w:ascii="宋体" w:cs="宋体"/>
                <w:highlight w:val="none"/>
              </w:rPr>
            </w:pPr>
          </w:p>
        </w:tc>
        <w:tc>
          <w:tcPr>
            <w:tcW w:w="1202" w:type="dxa"/>
            <w:vMerge w:val="continue"/>
            <w:tcBorders>
              <w:right w:val="single" w:color="auto" w:sz="4" w:space="0"/>
            </w:tcBorders>
            <w:vAlign w:val="center"/>
          </w:tcPr>
          <w:p>
            <w:pPr>
              <w:shd w:val="clear"/>
              <w:jc w:val="center"/>
              <w:rPr>
                <w:rFonts w:ascii="宋体" w:hAnsi="宋体" w:cs="宋体"/>
                <w:highlight w:val="none"/>
              </w:rPr>
            </w:pPr>
          </w:p>
        </w:tc>
        <w:tc>
          <w:tcPr>
            <w:tcW w:w="6838" w:type="dxa"/>
            <w:tcBorders>
              <w:left w:val="single" w:color="auto" w:sz="4" w:space="0"/>
            </w:tcBorders>
            <w:vAlign w:val="center"/>
          </w:tcPr>
          <w:p>
            <w:pPr>
              <w:shd w:val="clear"/>
              <w:spacing w:line="288" w:lineRule="auto"/>
              <w:jc w:val="left"/>
              <w:rPr>
                <w:rFonts w:ascii="宋体" w:hAnsi="宋体" w:cs="宋体"/>
                <w:highlight w:val="none"/>
              </w:rPr>
            </w:pPr>
            <w:r>
              <w:rPr>
                <w:rFonts w:hint="eastAsia" w:ascii="宋体" w:hAnsi="宋体" w:cs="宋体"/>
                <w:bCs/>
                <w:szCs w:val="21"/>
                <w:highlight w:val="none"/>
              </w:rPr>
              <w:t>未被列入“信用中国”网站(www.creditchina.gov.cn)“记录失信被执行人或重大税收违法案件当事人名单或政府采购严重违法失信行为”记录名单。【以招标代理机构于投标截止日当天在“信用中国”网站（www.creditchina.gov.cn）查询结果为准，如相关失信记录已失效，供应商需提供相关证明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41" w:hRule="atLeast"/>
        </w:trPr>
        <w:tc>
          <w:tcPr>
            <w:tcW w:w="1155" w:type="dxa"/>
            <w:vMerge w:val="continue"/>
            <w:vAlign w:val="center"/>
          </w:tcPr>
          <w:p>
            <w:pPr>
              <w:shd w:val="clear"/>
              <w:jc w:val="center"/>
              <w:rPr>
                <w:rFonts w:ascii="宋体" w:cs="宋体"/>
                <w:highlight w:val="none"/>
              </w:rPr>
            </w:pPr>
          </w:p>
        </w:tc>
        <w:tc>
          <w:tcPr>
            <w:tcW w:w="1202" w:type="dxa"/>
            <w:vMerge w:val="continue"/>
            <w:tcBorders>
              <w:right w:val="single" w:color="auto" w:sz="4" w:space="0"/>
            </w:tcBorders>
            <w:vAlign w:val="center"/>
          </w:tcPr>
          <w:p>
            <w:pPr>
              <w:shd w:val="clear"/>
              <w:jc w:val="center"/>
              <w:rPr>
                <w:rFonts w:ascii="宋体" w:hAnsi="宋体" w:cs="宋体"/>
                <w:highlight w:val="none"/>
              </w:rPr>
            </w:pPr>
          </w:p>
        </w:tc>
        <w:tc>
          <w:tcPr>
            <w:tcW w:w="6838" w:type="dxa"/>
            <w:tcBorders>
              <w:left w:val="single" w:color="auto" w:sz="4" w:space="0"/>
            </w:tcBorders>
            <w:vAlign w:val="center"/>
          </w:tcPr>
          <w:p>
            <w:pPr>
              <w:shd w:val="clear"/>
              <w:spacing w:line="288" w:lineRule="auto"/>
              <w:rPr>
                <w:szCs w:val="21"/>
                <w:highlight w:val="none"/>
              </w:rPr>
            </w:pPr>
            <w:r>
              <w:rPr>
                <w:rFonts w:hint="eastAsia" w:ascii="宋体" w:hAnsi="宋体" w:cs="宋体"/>
                <w:szCs w:val="21"/>
                <w:highlight w:val="none"/>
              </w:rPr>
              <w:t>单位负责人为同一人或者存在直接控股、管理关系的不同供应商，不得同时参加本采购项目投标。为本项目提供整体设计、规范编制或者项目管理、监理、检测等服务的供应商，不得再参与本项目投标。（提供</w:t>
            </w:r>
            <w:r>
              <w:rPr>
                <w:rFonts w:hint="eastAsia" w:ascii="宋体" w:hAnsi="宋体" w:cs="宋体"/>
                <w:bCs/>
                <w:szCs w:val="21"/>
                <w:highlight w:val="none"/>
              </w:rPr>
              <w:t>《投标人资格声明函》</w:t>
            </w:r>
            <w:r>
              <w:rPr>
                <w:rFonts w:hint="eastAsia" w:ascii="宋体" w:hAnsi="宋体" w:cs="宋体"/>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trPr>
        <w:tc>
          <w:tcPr>
            <w:tcW w:w="1155" w:type="dxa"/>
            <w:vMerge w:val="continue"/>
            <w:vAlign w:val="center"/>
          </w:tcPr>
          <w:p>
            <w:pPr>
              <w:shd w:val="clear"/>
              <w:jc w:val="center"/>
              <w:rPr>
                <w:rFonts w:ascii="宋体" w:cs="宋体"/>
                <w:highlight w:val="none"/>
              </w:rPr>
            </w:pPr>
          </w:p>
        </w:tc>
        <w:tc>
          <w:tcPr>
            <w:tcW w:w="1202" w:type="dxa"/>
            <w:vMerge w:val="continue"/>
            <w:tcBorders>
              <w:right w:val="single" w:color="auto" w:sz="4" w:space="0"/>
            </w:tcBorders>
            <w:vAlign w:val="center"/>
          </w:tcPr>
          <w:p>
            <w:pPr>
              <w:shd w:val="clear"/>
              <w:jc w:val="center"/>
              <w:rPr>
                <w:rFonts w:ascii="宋体" w:hAnsi="宋体" w:cs="宋体"/>
                <w:highlight w:val="none"/>
              </w:rPr>
            </w:pPr>
          </w:p>
        </w:tc>
        <w:tc>
          <w:tcPr>
            <w:tcW w:w="6838" w:type="dxa"/>
            <w:tcBorders>
              <w:left w:val="single" w:color="auto" w:sz="4" w:space="0"/>
            </w:tcBorders>
            <w:vAlign w:val="center"/>
          </w:tcPr>
          <w:p>
            <w:pPr>
              <w:shd w:val="clear"/>
              <w:spacing w:line="288" w:lineRule="auto"/>
              <w:jc w:val="left"/>
              <w:rPr>
                <w:rFonts w:ascii="宋体" w:hAnsi="宋体" w:cs="宋体"/>
                <w:highlight w:val="none"/>
              </w:rPr>
            </w:pPr>
            <w:r>
              <w:rPr>
                <w:rFonts w:hint="eastAsia" w:ascii="宋体" w:hAnsi="宋体" w:cs="宋体"/>
                <w:szCs w:val="21"/>
                <w:highlight w:val="none"/>
              </w:rPr>
              <w:t>本项目不接受联合体投标。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78" w:hRule="atLeast"/>
        </w:trPr>
        <w:tc>
          <w:tcPr>
            <w:tcW w:w="9195" w:type="dxa"/>
            <w:gridSpan w:val="3"/>
            <w:vAlign w:val="center"/>
          </w:tcPr>
          <w:p>
            <w:pPr>
              <w:shd w:val="clear"/>
              <w:jc w:val="center"/>
              <w:rPr>
                <w:rFonts w:ascii="宋体" w:hAnsi="宋体" w:cs="宋体"/>
                <w:highlight w:val="none"/>
              </w:rPr>
            </w:pPr>
            <w:r>
              <w:rPr>
                <w:rFonts w:hint="eastAsia" w:ascii="宋体" w:hAnsi="宋体" w:cs="宋体"/>
                <w:highlight w:val="none"/>
              </w:rPr>
              <w:t>不能通过资格性审查的供应商，不需进行以下内容的审查。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27" w:hRule="atLeast"/>
        </w:trPr>
        <w:tc>
          <w:tcPr>
            <w:tcW w:w="1155" w:type="dxa"/>
            <w:vMerge w:val="restart"/>
            <w:vAlign w:val="center"/>
          </w:tcPr>
          <w:p>
            <w:pPr>
              <w:shd w:val="clear"/>
              <w:jc w:val="center"/>
              <w:rPr>
                <w:rFonts w:ascii="宋体" w:hAnsi="宋体" w:cs="宋体"/>
                <w:highlight w:val="none"/>
              </w:rPr>
            </w:pPr>
            <w:r>
              <w:rPr>
                <w:rFonts w:hint="eastAsia" w:ascii="宋体" w:hAnsi="宋体" w:cs="宋体"/>
                <w:highlight w:val="none"/>
              </w:rPr>
              <w:t>符合性审查</w:t>
            </w:r>
          </w:p>
        </w:tc>
        <w:tc>
          <w:tcPr>
            <w:tcW w:w="8040" w:type="dxa"/>
            <w:gridSpan w:val="2"/>
            <w:vAlign w:val="center"/>
          </w:tcPr>
          <w:p>
            <w:pPr>
              <w:shd w:val="clear"/>
              <w:tabs>
                <w:tab w:val="left" w:pos="612"/>
              </w:tabs>
              <w:spacing w:line="288" w:lineRule="auto"/>
              <w:rPr>
                <w:rFonts w:ascii="宋体" w:hAnsi="宋体" w:cs="宋体"/>
                <w:highlight w:val="none"/>
              </w:rPr>
            </w:pPr>
            <w:r>
              <w:rPr>
                <w:rFonts w:hint="eastAsia" w:ascii="宋体" w:hAnsi="宋体" w:cs="宋体"/>
                <w:highlight w:val="none"/>
              </w:rPr>
              <w:t>按照招标文件规定要求签署、盖章且投标文件有法定代表人签字或盖章，或签字人有法定代表人有效授权书的。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27" w:hRule="atLeast"/>
        </w:trPr>
        <w:tc>
          <w:tcPr>
            <w:tcW w:w="1155" w:type="dxa"/>
            <w:vMerge w:val="continue"/>
            <w:vAlign w:val="center"/>
          </w:tcPr>
          <w:p>
            <w:pPr>
              <w:shd w:val="clear"/>
              <w:jc w:val="center"/>
              <w:rPr>
                <w:rFonts w:ascii="宋体" w:hAnsi="宋体" w:cs="宋体"/>
                <w:highlight w:val="none"/>
              </w:rPr>
            </w:pPr>
          </w:p>
        </w:tc>
        <w:tc>
          <w:tcPr>
            <w:tcW w:w="8040" w:type="dxa"/>
            <w:gridSpan w:val="2"/>
            <w:vAlign w:val="center"/>
          </w:tcPr>
          <w:p>
            <w:pPr>
              <w:shd w:val="clear"/>
              <w:spacing w:line="288" w:lineRule="auto"/>
              <w:jc w:val="left"/>
              <w:rPr>
                <w:rFonts w:ascii="宋体" w:hAnsi="宋体" w:cs="宋体"/>
                <w:highlight w:val="none"/>
              </w:rPr>
            </w:pPr>
            <w:r>
              <w:rPr>
                <w:rFonts w:hint="eastAsia" w:ascii="宋体" w:hAnsi="宋体" w:cs="宋体"/>
                <w:highlight w:val="none"/>
              </w:rPr>
              <w:t>投标函已提交并符合招标文件要求的。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27" w:hRule="atLeast"/>
        </w:trPr>
        <w:tc>
          <w:tcPr>
            <w:tcW w:w="1155" w:type="dxa"/>
            <w:vMerge w:val="continue"/>
            <w:vAlign w:val="center"/>
          </w:tcPr>
          <w:p>
            <w:pPr>
              <w:shd w:val="clear"/>
              <w:jc w:val="center"/>
              <w:rPr>
                <w:rFonts w:ascii="宋体" w:hAnsi="宋体" w:cs="宋体"/>
                <w:highlight w:val="none"/>
              </w:rPr>
            </w:pPr>
          </w:p>
        </w:tc>
        <w:tc>
          <w:tcPr>
            <w:tcW w:w="8040" w:type="dxa"/>
            <w:gridSpan w:val="2"/>
            <w:vAlign w:val="center"/>
          </w:tcPr>
          <w:p>
            <w:pPr>
              <w:shd w:val="clear"/>
              <w:spacing w:line="288" w:lineRule="auto"/>
              <w:jc w:val="left"/>
              <w:rPr>
                <w:rFonts w:ascii="宋体" w:hAnsi="宋体" w:cs="宋体"/>
                <w:highlight w:val="none"/>
              </w:rPr>
            </w:pPr>
            <w:r>
              <w:rPr>
                <w:rFonts w:hint="eastAsia" w:ascii="宋体" w:hAnsi="宋体" w:cs="宋体"/>
                <w:highlight w:val="none"/>
              </w:rPr>
              <w:t>投标人按招标文件要求缴纳投标保证金的。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27" w:hRule="atLeast"/>
        </w:trPr>
        <w:tc>
          <w:tcPr>
            <w:tcW w:w="1155" w:type="dxa"/>
            <w:vMerge w:val="continue"/>
            <w:vAlign w:val="center"/>
          </w:tcPr>
          <w:p>
            <w:pPr>
              <w:shd w:val="clear"/>
              <w:jc w:val="center"/>
              <w:rPr>
                <w:rFonts w:ascii="宋体" w:hAnsi="宋体" w:cs="宋体"/>
                <w:highlight w:val="none"/>
              </w:rPr>
            </w:pPr>
          </w:p>
        </w:tc>
        <w:tc>
          <w:tcPr>
            <w:tcW w:w="8040" w:type="dxa"/>
            <w:gridSpan w:val="2"/>
            <w:vAlign w:val="center"/>
          </w:tcPr>
          <w:p>
            <w:pPr>
              <w:shd w:val="clear"/>
              <w:spacing w:line="288" w:lineRule="auto"/>
              <w:ind w:left="315" w:hanging="315" w:hangingChars="150"/>
              <w:rPr>
                <w:rFonts w:ascii="宋体" w:hAnsi="宋体" w:cs="宋体"/>
                <w:highlight w:val="none"/>
              </w:rPr>
            </w:pPr>
            <w:r>
              <w:rPr>
                <w:rFonts w:hint="eastAsia" w:ascii="宋体" w:hAnsi="宋体" w:cs="宋体"/>
                <w:highlight w:val="none"/>
              </w:rPr>
              <w:t>投标报价是固定且唯一的，未超过本项目</w:t>
            </w:r>
            <w:r>
              <w:rPr>
                <w:rFonts w:hint="eastAsia" w:ascii="宋体" w:hAnsi="宋体" w:cs="宋体"/>
                <w:b/>
                <w:bCs/>
                <w:highlight w:val="none"/>
              </w:rPr>
              <w:t>最高限价</w:t>
            </w:r>
            <w:r>
              <w:rPr>
                <w:rFonts w:hint="eastAsia" w:ascii="宋体" w:hAnsi="宋体" w:cs="宋体"/>
                <w:highlight w:val="none"/>
              </w:rPr>
              <w:t>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9" w:hRule="atLeast"/>
        </w:trPr>
        <w:tc>
          <w:tcPr>
            <w:tcW w:w="1155" w:type="dxa"/>
            <w:vMerge w:val="continue"/>
            <w:vAlign w:val="center"/>
          </w:tcPr>
          <w:p>
            <w:pPr>
              <w:shd w:val="clear"/>
              <w:jc w:val="center"/>
              <w:rPr>
                <w:rFonts w:ascii="宋体" w:hAnsi="宋体" w:cs="宋体"/>
                <w:highlight w:val="none"/>
              </w:rPr>
            </w:pPr>
          </w:p>
        </w:tc>
        <w:tc>
          <w:tcPr>
            <w:tcW w:w="8040" w:type="dxa"/>
            <w:gridSpan w:val="2"/>
            <w:vAlign w:val="center"/>
          </w:tcPr>
          <w:p>
            <w:pPr>
              <w:shd w:val="clear"/>
              <w:spacing w:line="288" w:lineRule="auto"/>
              <w:rPr>
                <w:rFonts w:ascii="宋体" w:hAnsi="宋体" w:cs="宋体"/>
                <w:highlight w:val="none"/>
              </w:rPr>
            </w:pPr>
            <w:r>
              <w:rPr>
                <w:rFonts w:hint="eastAsia" w:ascii="宋体" w:hAnsi="宋体" w:cs="宋体"/>
                <w:highlight w:val="none"/>
              </w:rPr>
              <w:t>投标文件完全满足招标文件的实质性条款【即标注★号条款（如有）及商务要求】无负偏离的，投标时提供：</w:t>
            </w:r>
            <w:r>
              <w:rPr>
                <w:rFonts w:hint="eastAsia" w:ascii="宋体" w:hAnsi="宋体" w:cs="宋体"/>
                <w:szCs w:val="21"/>
                <w:highlight w:val="none"/>
              </w:rPr>
              <w:t>1）</w:t>
            </w:r>
            <w:r>
              <w:rPr>
                <w:rFonts w:hint="eastAsia" w:ascii="宋体" w:hAnsi="宋体" w:cs="Courier New"/>
                <w:szCs w:val="21"/>
                <w:highlight w:val="none"/>
              </w:rPr>
              <w:t>实质性条款响应一览表；</w:t>
            </w:r>
            <w:r>
              <w:rPr>
                <w:rFonts w:hint="eastAsia" w:ascii="宋体" w:hAnsi="宋体" w:cs="宋体"/>
                <w:szCs w:val="21"/>
                <w:highlight w:val="none"/>
              </w:rPr>
              <w:t>2）</w:t>
            </w:r>
            <w:r>
              <w:rPr>
                <w:rFonts w:hint="eastAsia" w:ascii="宋体" w:hAnsi="宋体" w:cs="Courier New"/>
                <w:szCs w:val="21"/>
                <w:highlight w:val="none"/>
              </w:rPr>
              <w:t>招标文件规定的证明材料。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7" w:hRule="atLeast"/>
        </w:trPr>
        <w:tc>
          <w:tcPr>
            <w:tcW w:w="1155" w:type="dxa"/>
            <w:vMerge w:val="continue"/>
            <w:vAlign w:val="center"/>
          </w:tcPr>
          <w:p>
            <w:pPr>
              <w:shd w:val="clear"/>
              <w:jc w:val="center"/>
              <w:rPr>
                <w:rFonts w:ascii="宋体" w:hAnsi="宋体" w:cs="宋体"/>
                <w:highlight w:val="none"/>
              </w:rPr>
            </w:pPr>
          </w:p>
        </w:tc>
        <w:tc>
          <w:tcPr>
            <w:tcW w:w="8040" w:type="dxa"/>
            <w:gridSpan w:val="2"/>
            <w:vAlign w:val="center"/>
          </w:tcPr>
          <w:p>
            <w:pPr>
              <w:shd w:val="clear"/>
              <w:spacing w:line="288" w:lineRule="auto"/>
              <w:rPr>
                <w:rFonts w:ascii="宋体" w:hAnsi="宋体" w:cs="宋体"/>
                <w:highlight w:val="none"/>
              </w:rPr>
            </w:pPr>
            <w:r>
              <w:rPr>
                <w:rFonts w:hint="eastAsia" w:ascii="宋体" w:hAnsi="宋体"/>
                <w:bCs/>
                <w:highlight w:val="none"/>
              </w:rPr>
              <w:t>评标委员会认为投标人的报价明显低于其他通过符合性审查投标人的报价，有可能影响产品质量或者不能诚信履约的，要求其在评标现场规定的时间内提供书面说明，必要时提交相关证明材料。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27" w:hRule="atLeast"/>
        </w:trPr>
        <w:tc>
          <w:tcPr>
            <w:tcW w:w="1155" w:type="dxa"/>
            <w:vMerge w:val="continue"/>
            <w:vAlign w:val="center"/>
          </w:tcPr>
          <w:p>
            <w:pPr>
              <w:shd w:val="clear"/>
              <w:jc w:val="center"/>
              <w:rPr>
                <w:rFonts w:ascii="宋体" w:hAnsi="宋体" w:cs="宋体"/>
                <w:highlight w:val="none"/>
              </w:rPr>
            </w:pPr>
          </w:p>
        </w:tc>
        <w:tc>
          <w:tcPr>
            <w:tcW w:w="8040" w:type="dxa"/>
            <w:gridSpan w:val="2"/>
            <w:vAlign w:val="center"/>
          </w:tcPr>
          <w:p>
            <w:pPr>
              <w:shd w:val="clear"/>
              <w:spacing w:line="288" w:lineRule="auto"/>
              <w:rPr>
                <w:rFonts w:ascii="宋体" w:hAnsi="宋体" w:cs="宋体"/>
                <w:highlight w:val="none"/>
              </w:rPr>
            </w:pPr>
            <w:r>
              <w:rPr>
                <w:rFonts w:hint="eastAsia" w:ascii="宋体" w:hAnsi="宋体" w:cs="宋体"/>
                <w:highlight w:val="none"/>
              </w:rPr>
              <w:t>投标文件未含有招标人不能接受的附加条件的。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27" w:hRule="atLeast"/>
        </w:trPr>
        <w:tc>
          <w:tcPr>
            <w:tcW w:w="1155" w:type="dxa"/>
            <w:vMerge w:val="continue"/>
            <w:vAlign w:val="center"/>
          </w:tcPr>
          <w:p>
            <w:pPr>
              <w:shd w:val="clear"/>
              <w:jc w:val="center"/>
              <w:rPr>
                <w:rFonts w:ascii="宋体" w:hAnsi="宋体" w:cs="宋体"/>
                <w:highlight w:val="none"/>
              </w:rPr>
            </w:pPr>
          </w:p>
        </w:tc>
        <w:tc>
          <w:tcPr>
            <w:tcW w:w="8040" w:type="dxa"/>
            <w:gridSpan w:val="2"/>
            <w:vAlign w:val="center"/>
          </w:tcPr>
          <w:p>
            <w:pPr>
              <w:shd w:val="clear"/>
              <w:rPr>
                <w:rFonts w:ascii="宋体" w:hAnsi="宋体" w:cs="宋体"/>
                <w:highlight w:val="none"/>
              </w:rPr>
            </w:pPr>
            <w:r>
              <w:rPr>
                <w:rFonts w:hint="eastAsia" w:ascii="宋体" w:hAnsi="宋体" w:cs="宋体"/>
                <w:highlight w:val="none"/>
              </w:rPr>
              <w:t>投标文件没有招标文件中规定的其它无效投标条款的。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27" w:hRule="atLeast"/>
        </w:trPr>
        <w:tc>
          <w:tcPr>
            <w:tcW w:w="1155" w:type="dxa"/>
            <w:vMerge w:val="continue"/>
            <w:vAlign w:val="center"/>
          </w:tcPr>
          <w:p>
            <w:pPr>
              <w:shd w:val="clear"/>
              <w:jc w:val="center"/>
              <w:rPr>
                <w:rFonts w:ascii="宋体" w:hAnsi="宋体" w:cs="宋体"/>
                <w:highlight w:val="none"/>
              </w:rPr>
            </w:pPr>
          </w:p>
        </w:tc>
        <w:tc>
          <w:tcPr>
            <w:tcW w:w="8040" w:type="dxa"/>
            <w:gridSpan w:val="2"/>
            <w:vAlign w:val="center"/>
          </w:tcPr>
          <w:p>
            <w:pPr>
              <w:shd w:val="clear"/>
              <w:rPr>
                <w:rFonts w:ascii="宋体" w:hAnsi="宋体" w:cs="宋体"/>
                <w:highlight w:val="none"/>
              </w:rPr>
            </w:pPr>
            <w:r>
              <w:rPr>
                <w:rFonts w:hint="eastAsia" w:ascii="宋体" w:hAnsi="宋体" w:cs="宋体"/>
                <w:highlight w:val="none"/>
              </w:rPr>
              <w:t>没有违反有关法律、法规、规章要求，被视为投标无效的其他情况。</w:t>
            </w:r>
          </w:p>
        </w:tc>
      </w:tr>
    </w:tbl>
    <w:p>
      <w:pPr>
        <w:shd w:val="clear"/>
        <w:adjustRightInd w:val="0"/>
        <w:snapToGrid w:val="0"/>
        <w:spacing w:before="156" w:beforeLines="50" w:after="156" w:afterLines="50" w:line="360" w:lineRule="auto"/>
        <w:jc w:val="center"/>
        <w:rPr>
          <w:rFonts w:ascii="黑体" w:hAnsi="宋体" w:eastAsia="黑体" w:cs="宋体"/>
          <w:sz w:val="28"/>
          <w:szCs w:val="28"/>
          <w:highlight w:val="none"/>
        </w:rPr>
      </w:pPr>
      <w:r>
        <w:rPr>
          <w:rFonts w:hint="eastAsia" w:ascii="宋体" w:hAnsi="宋体" w:cs="宋体"/>
          <w:szCs w:val="21"/>
          <w:highlight w:val="none"/>
        </w:rPr>
        <w:br w:type="page"/>
      </w:r>
      <w:r>
        <w:rPr>
          <w:rFonts w:hint="eastAsia" w:ascii="黑体" w:hAnsi="宋体" w:eastAsia="黑体" w:cs="宋体"/>
          <w:sz w:val="28"/>
          <w:szCs w:val="28"/>
          <w:highlight w:val="none"/>
        </w:rPr>
        <w:t>技术部分评分表</w:t>
      </w:r>
    </w:p>
    <w:p>
      <w:pPr>
        <w:shd w:val="clear"/>
        <w:adjustRightInd w:val="0"/>
        <w:snapToGrid w:val="0"/>
        <w:spacing w:before="156" w:beforeLines="50" w:after="156" w:afterLines="50" w:line="360" w:lineRule="auto"/>
        <w:jc w:val="center"/>
        <w:rPr>
          <w:rFonts w:ascii="黑体" w:hAnsi="宋体" w:eastAsia="黑体" w:cs="宋体"/>
          <w:sz w:val="28"/>
          <w:szCs w:val="28"/>
          <w:highlight w:val="none"/>
        </w:rPr>
      </w:pPr>
      <w:r>
        <w:rPr>
          <w:rFonts w:hint="eastAsia" w:ascii="黑体" w:hAnsi="宋体" w:eastAsia="黑体" w:cs="宋体"/>
          <w:sz w:val="28"/>
          <w:szCs w:val="28"/>
          <w:highlight w:val="none"/>
        </w:rPr>
        <w:t>（55分）</w:t>
      </w:r>
    </w:p>
    <w:tbl>
      <w:tblPr>
        <w:tblStyle w:val="22"/>
        <w:tblW w:w="93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8"/>
        <w:gridCol w:w="2147"/>
        <w:gridCol w:w="892"/>
        <w:gridCol w:w="54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exact"/>
          <w:jc w:val="center"/>
        </w:trPr>
        <w:tc>
          <w:tcPr>
            <w:tcW w:w="838" w:type="dxa"/>
            <w:vAlign w:val="center"/>
          </w:tcPr>
          <w:p>
            <w:pPr>
              <w:shd w:val="clear"/>
              <w:wordWrap w:val="0"/>
              <w:jc w:val="center"/>
              <w:rPr>
                <w:rFonts w:ascii="宋体" w:hAnsi="宋体" w:cs="宋体"/>
                <w:b/>
                <w:szCs w:val="21"/>
                <w:highlight w:val="none"/>
              </w:rPr>
            </w:pPr>
            <w:r>
              <w:rPr>
                <w:rFonts w:hint="eastAsia" w:ascii="宋体" w:hAnsi="宋体" w:cs="宋体"/>
                <w:b/>
                <w:szCs w:val="21"/>
                <w:highlight w:val="none"/>
              </w:rPr>
              <w:t>序号</w:t>
            </w:r>
          </w:p>
        </w:tc>
        <w:tc>
          <w:tcPr>
            <w:tcW w:w="2147" w:type="dxa"/>
            <w:vAlign w:val="center"/>
          </w:tcPr>
          <w:p>
            <w:pPr>
              <w:shd w:val="clear"/>
              <w:wordWrap w:val="0"/>
              <w:jc w:val="center"/>
              <w:rPr>
                <w:rFonts w:ascii="宋体" w:hAnsi="宋体" w:cs="宋体"/>
                <w:b/>
                <w:szCs w:val="21"/>
                <w:highlight w:val="none"/>
              </w:rPr>
            </w:pPr>
            <w:r>
              <w:rPr>
                <w:rFonts w:hint="eastAsia" w:ascii="宋体" w:hAnsi="宋体" w:cs="宋体"/>
                <w:b/>
                <w:szCs w:val="21"/>
                <w:highlight w:val="none"/>
              </w:rPr>
              <w:t>评分因素</w:t>
            </w:r>
          </w:p>
        </w:tc>
        <w:tc>
          <w:tcPr>
            <w:tcW w:w="892" w:type="dxa"/>
            <w:vAlign w:val="center"/>
          </w:tcPr>
          <w:p>
            <w:pPr>
              <w:shd w:val="clear"/>
              <w:wordWrap w:val="0"/>
              <w:jc w:val="center"/>
              <w:rPr>
                <w:rFonts w:ascii="宋体" w:hAnsi="宋体" w:cs="宋体"/>
                <w:b/>
                <w:szCs w:val="21"/>
                <w:highlight w:val="none"/>
                <w:u w:val="single"/>
              </w:rPr>
            </w:pPr>
            <w:r>
              <w:rPr>
                <w:rFonts w:hint="eastAsia" w:ascii="宋体" w:hAnsi="宋体" w:cs="宋体"/>
                <w:b/>
                <w:szCs w:val="21"/>
                <w:highlight w:val="none"/>
              </w:rPr>
              <w:t>分值（分）</w:t>
            </w:r>
          </w:p>
        </w:tc>
        <w:tc>
          <w:tcPr>
            <w:tcW w:w="5449" w:type="dxa"/>
            <w:vAlign w:val="center"/>
          </w:tcPr>
          <w:p>
            <w:pPr>
              <w:shd w:val="clear"/>
              <w:wordWrap w:val="0"/>
              <w:jc w:val="center"/>
              <w:rPr>
                <w:rFonts w:ascii="宋体" w:hAnsi="宋体" w:cs="宋体"/>
                <w:b/>
                <w:szCs w:val="21"/>
                <w:highlight w:val="none"/>
              </w:rPr>
            </w:pPr>
            <w:r>
              <w:rPr>
                <w:rFonts w:hint="eastAsia" w:ascii="宋体" w:hAnsi="宋体" w:cs="宋体"/>
                <w:b/>
                <w:szCs w:val="21"/>
                <w:highlight w:val="none"/>
              </w:rPr>
              <w:t>评分细则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dxa"/>
            <w:vAlign w:val="center"/>
          </w:tcPr>
          <w:p>
            <w:pPr>
              <w:widowControl/>
              <w:numPr>
                <w:ilvl w:val="0"/>
                <w:numId w:val="60"/>
              </w:numPr>
              <w:shd w:val="clear"/>
              <w:tabs>
                <w:tab w:val="left" w:pos="210"/>
              </w:tabs>
              <w:wordWrap w:val="0"/>
              <w:jc w:val="center"/>
              <w:rPr>
                <w:rFonts w:ascii="宋体" w:hAnsi="宋体" w:cs="宋体"/>
                <w:szCs w:val="21"/>
                <w:highlight w:val="none"/>
              </w:rPr>
            </w:pPr>
          </w:p>
        </w:tc>
        <w:tc>
          <w:tcPr>
            <w:tcW w:w="2147" w:type="dxa"/>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对项目的熟悉程度</w:t>
            </w:r>
          </w:p>
        </w:tc>
        <w:tc>
          <w:tcPr>
            <w:tcW w:w="892" w:type="dxa"/>
            <w:vAlign w:val="center"/>
          </w:tcPr>
          <w:p>
            <w:pPr>
              <w:widowControl/>
              <w:shd w:val="clear"/>
              <w:jc w:val="center"/>
              <w:rPr>
                <w:rFonts w:ascii="宋体" w:hAnsi="宋体" w:cs="宋体"/>
                <w:szCs w:val="21"/>
                <w:highlight w:val="none"/>
              </w:rPr>
            </w:pPr>
            <w:r>
              <w:rPr>
                <w:rFonts w:hint="eastAsia" w:ascii="宋体" w:hAnsi="宋体" w:cs="宋体"/>
                <w:szCs w:val="21"/>
                <w:highlight w:val="none"/>
              </w:rPr>
              <w:t>5</w:t>
            </w:r>
          </w:p>
        </w:tc>
        <w:tc>
          <w:tcPr>
            <w:tcW w:w="5449" w:type="dxa"/>
            <w:vAlign w:val="center"/>
          </w:tcPr>
          <w:p>
            <w:pPr>
              <w:shd w:val="clear"/>
              <w:jc w:val="left"/>
              <w:rPr>
                <w:rFonts w:ascii="宋体" w:hAnsi="宋体" w:cs="宋体"/>
                <w:szCs w:val="21"/>
                <w:highlight w:val="none"/>
              </w:rPr>
            </w:pPr>
            <w:r>
              <w:rPr>
                <w:rFonts w:hint="eastAsia" w:ascii="宋体" w:hAnsi="宋体" w:cs="宋体"/>
                <w:szCs w:val="21"/>
                <w:highlight w:val="none"/>
              </w:rPr>
              <w:t>根据各投标人所提供的项目概况、特点、功能分布、管理重点及难点分析等进行综合评审：</w:t>
            </w:r>
          </w:p>
          <w:p>
            <w:pPr>
              <w:numPr>
                <w:ilvl w:val="0"/>
                <w:numId w:val="61"/>
              </w:numPr>
              <w:shd w:val="clear"/>
              <w:jc w:val="left"/>
              <w:rPr>
                <w:rFonts w:ascii="宋体" w:hAnsi="宋体" w:cs="宋体"/>
                <w:szCs w:val="21"/>
                <w:highlight w:val="none"/>
              </w:rPr>
            </w:pPr>
            <w:r>
              <w:rPr>
                <w:rFonts w:hint="eastAsia" w:ascii="宋体" w:hAnsi="宋体" w:cs="宋体"/>
                <w:szCs w:val="21"/>
                <w:highlight w:val="none"/>
              </w:rPr>
              <w:t xml:space="preserve">满足用户需求，对本项目概况、特点、功能分布、管理重点及难点分析，描述详细具体,得5分； </w:t>
            </w:r>
          </w:p>
          <w:p>
            <w:pPr>
              <w:numPr>
                <w:ilvl w:val="0"/>
                <w:numId w:val="61"/>
              </w:numPr>
              <w:shd w:val="clear"/>
              <w:jc w:val="left"/>
              <w:rPr>
                <w:rFonts w:ascii="宋体" w:hAnsi="宋体" w:cs="宋体"/>
                <w:szCs w:val="21"/>
                <w:highlight w:val="none"/>
              </w:rPr>
            </w:pPr>
            <w:r>
              <w:rPr>
                <w:rFonts w:hint="eastAsia" w:ascii="宋体" w:hAnsi="宋体" w:cs="宋体"/>
                <w:szCs w:val="21"/>
                <w:highlight w:val="none"/>
              </w:rPr>
              <w:t>满足用户需求，对本项目概况、特点、功能分布、管理重点及难点分析，描述较详细、较具体，得3分；</w:t>
            </w:r>
          </w:p>
          <w:p>
            <w:pPr>
              <w:numPr>
                <w:ilvl w:val="0"/>
                <w:numId w:val="61"/>
              </w:numPr>
              <w:shd w:val="clear"/>
              <w:jc w:val="left"/>
              <w:rPr>
                <w:rFonts w:ascii="宋体" w:hAnsi="宋体" w:cs="宋体"/>
                <w:szCs w:val="21"/>
                <w:highlight w:val="none"/>
              </w:rPr>
            </w:pPr>
            <w:r>
              <w:rPr>
                <w:rFonts w:hint="eastAsia" w:ascii="宋体" w:hAnsi="宋体" w:cs="宋体"/>
                <w:szCs w:val="21"/>
                <w:highlight w:val="none"/>
              </w:rPr>
              <w:t xml:space="preserve">较能满足用户需求，对本项目概况、特点、功能分布、管理重点及难点分析，描述简单、不具体，得1分； </w:t>
            </w:r>
          </w:p>
          <w:p>
            <w:pPr>
              <w:numPr>
                <w:ilvl w:val="0"/>
                <w:numId w:val="61"/>
              </w:numPr>
              <w:shd w:val="clear"/>
              <w:jc w:val="left"/>
              <w:rPr>
                <w:rFonts w:ascii="宋体" w:hAnsi="宋体" w:cs="宋体"/>
                <w:szCs w:val="21"/>
                <w:highlight w:val="none"/>
              </w:rPr>
            </w:pPr>
            <w:r>
              <w:rPr>
                <w:rFonts w:hint="eastAsia" w:ascii="宋体" w:hAnsi="宋体" w:cs="宋体"/>
                <w:szCs w:val="21"/>
                <w:highlight w:val="none"/>
              </w:rPr>
              <w:t>不能满足用户需求或投标人不了解项目概况、特点、功能分布或没有提供不得分。</w:t>
            </w:r>
          </w:p>
          <w:p>
            <w:pPr>
              <w:pStyle w:val="4"/>
              <w:shd w:val="clear"/>
              <w:rPr>
                <w:rFonts w:ascii="宋体" w:hAnsi="宋体" w:cs="宋体"/>
                <w:b w:val="0"/>
                <w:bCs w:val="0"/>
                <w:sz w:val="21"/>
                <w:szCs w:val="21"/>
                <w:highlight w:val="none"/>
              </w:rPr>
            </w:pPr>
            <w:r>
              <w:rPr>
                <w:rFonts w:hint="eastAsia" w:ascii="宋体" w:hAnsi="宋体" w:cs="宋体"/>
                <w:b w:val="0"/>
                <w:bCs w:val="0"/>
                <w:sz w:val="21"/>
                <w:szCs w:val="21"/>
                <w:highlight w:val="none"/>
              </w:rPr>
              <w:t>（提供相关证明材料。）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dxa"/>
            <w:vAlign w:val="center"/>
          </w:tcPr>
          <w:p>
            <w:pPr>
              <w:widowControl/>
              <w:numPr>
                <w:ilvl w:val="0"/>
                <w:numId w:val="60"/>
              </w:numPr>
              <w:shd w:val="clear"/>
              <w:tabs>
                <w:tab w:val="left" w:pos="210"/>
              </w:tabs>
              <w:wordWrap w:val="0"/>
              <w:jc w:val="center"/>
              <w:rPr>
                <w:rFonts w:ascii="宋体" w:hAnsi="宋体" w:cs="宋体"/>
                <w:szCs w:val="21"/>
                <w:highlight w:val="none"/>
              </w:rPr>
            </w:pPr>
          </w:p>
        </w:tc>
        <w:tc>
          <w:tcPr>
            <w:tcW w:w="2147" w:type="dxa"/>
            <w:vAlign w:val="center"/>
          </w:tcPr>
          <w:p>
            <w:pPr>
              <w:shd w:val="clear"/>
              <w:jc w:val="center"/>
              <w:rPr>
                <w:rFonts w:ascii="宋体" w:hAnsi="宋体" w:cs="宋体"/>
                <w:szCs w:val="21"/>
                <w:highlight w:val="none"/>
              </w:rPr>
            </w:pPr>
            <w:r>
              <w:rPr>
                <w:rFonts w:hint="eastAsia" w:ascii="宋体" w:hAnsi="宋体" w:cs="宋体"/>
                <w:kern w:val="0"/>
                <w:szCs w:val="21"/>
                <w:highlight w:val="none"/>
              </w:rPr>
              <w:t>项目组织方案</w:t>
            </w:r>
          </w:p>
        </w:tc>
        <w:tc>
          <w:tcPr>
            <w:tcW w:w="892" w:type="dxa"/>
            <w:vAlign w:val="center"/>
          </w:tcPr>
          <w:p>
            <w:pPr>
              <w:widowControl/>
              <w:shd w:val="clear"/>
              <w:jc w:val="center"/>
              <w:rPr>
                <w:rFonts w:ascii="宋体" w:hAnsi="宋体" w:cs="宋体"/>
                <w:szCs w:val="21"/>
                <w:highlight w:val="none"/>
              </w:rPr>
            </w:pPr>
            <w:r>
              <w:rPr>
                <w:rFonts w:hint="eastAsia" w:ascii="宋体" w:hAnsi="宋体" w:cs="宋体"/>
                <w:szCs w:val="21"/>
                <w:highlight w:val="none"/>
              </w:rPr>
              <w:t>5</w:t>
            </w:r>
          </w:p>
        </w:tc>
        <w:tc>
          <w:tcPr>
            <w:tcW w:w="5449" w:type="dxa"/>
            <w:vAlign w:val="center"/>
          </w:tcPr>
          <w:p>
            <w:pPr>
              <w:shd w:val="clear"/>
              <w:jc w:val="left"/>
              <w:rPr>
                <w:rFonts w:ascii="宋体" w:hAnsi="宋体" w:cs="宋体"/>
                <w:szCs w:val="21"/>
                <w:highlight w:val="none"/>
              </w:rPr>
            </w:pPr>
            <w:r>
              <w:rPr>
                <w:rFonts w:hint="eastAsia" w:ascii="宋体" w:hAnsi="宋体" w:cs="宋体"/>
                <w:szCs w:val="21"/>
                <w:highlight w:val="none"/>
              </w:rPr>
              <w:t>根据各投标人所提供的项目组织方案内容包括①</w:t>
            </w:r>
            <w:r>
              <w:rPr>
                <w:rFonts w:hint="eastAsia" w:ascii="宋体" w:hAnsi="宋体" w:cs="宋体"/>
                <w:szCs w:val="21"/>
                <w:highlight w:val="none"/>
                <w:lang w:eastAsia="zh-Hans"/>
              </w:rPr>
              <w:t>总体服务模式（包括但不限</w:t>
            </w:r>
            <w:r>
              <w:rPr>
                <w:rFonts w:hint="eastAsia" w:ascii="宋体" w:hAnsi="宋体" w:cs="宋体"/>
                <w:szCs w:val="21"/>
                <w:highlight w:val="none"/>
              </w:rPr>
              <w:t>于管理目标、</w:t>
            </w:r>
            <w:r>
              <w:rPr>
                <w:rFonts w:hint="eastAsia" w:ascii="宋体" w:hAnsi="宋体" w:cs="宋体"/>
                <w:szCs w:val="21"/>
                <w:highlight w:val="none"/>
                <w:lang w:eastAsia="zh-Hans"/>
              </w:rPr>
              <w:t>管理模式、运作机制、工作重点等）</w:t>
            </w:r>
            <w:r>
              <w:rPr>
                <w:rFonts w:hint="eastAsia" w:ascii="宋体" w:hAnsi="宋体" w:cs="宋体"/>
                <w:szCs w:val="21"/>
                <w:highlight w:val="none"/>
              </w:rPr>
              <w:t>、</w:t>
            </w:r>
            <w:r>
              <w:rPr>
                <w:rFonts w:hint="eastAsia" w:ascii="宋体" w:hAnsi="宋体" w:cs="宋体"/>
                <w:szCs w:val="21"/>
                <w:highlight w:val="none"/>
                <w:lang w:eastAsia="zh-Hans"/>
              </w:rPr>
              <w:t>②配套的管理措施（包括但不限</w:t>
            </w:r>
            <w:r>
              <w:rPr>
                <w:rFonts w:hint="eastAsia" w:ascii="宋体" w:hAnsi="宋体" w:cs="宋体"/>
                <w:szCs w:val="21"/>
                <w:highlight w:val="none"/>
              </w:rPr>
              <w:t>于</w:t>
            </w:r>
            <w:r>
              <w:rPr>
                <w:rFonts w:hint="eastAsia" w:ascii="宋体" w:hAnsi="宋体" w:cs="宋体"/>
                <w:szCs w:val="21"/>
                <w:highlight w:val="none"/>
                <w:lang w:eastAsia="zh-Hans"/>
              </w:rPr>
              <w:t>总体的管理架构、人员配置、管理制度、服务质量保证等）及</w:t>
            </w:r>
            <w:r>
              <w:rPr>
                <w:rFonts w:cs="Calibri"/>
                <w:szCs w:val="21"/>
                <w:highlight w:val="none"/>
                <w:lang w:eastAsia="zh-Hans"/>
              </w:rPr>
              <w:t>③</w:t>
            </w:r>
            <w:r>
              <w:rPr>
                <w:rFonts w:hint="eastAsia"/>
                <w:highlight w:val="none"/>
              </w:rPr>
              <w:t>物业管理咨询服务方案</w:t>
            </w:r>
            <w:r>
              <w:rPr>
                <w:rFonts w:hint="eastAsia" w:ascii="宋体" w:hAnsi="宋体" w:cs="宋体"/>
                <w:szCs w:val="21"/>
                <w:highlight w:val="none"/>
              </w:rPr>
              <w:t>进行综合评审：</w:t>
            </w:r>
          </w:p>
          <w:p>
            <w:pPr>
              <w:numPr>
                <w:ilvl w:val="0"/>
                <w:numId w:val="62"/>
              </w:numPr>
              <w:shd w:val="clear"/>
              <w:jc w:val="left"/>
              <w:rPr>
                <w:rFonts w:ascii="宋体" w:hAnsi="宋体" w:cs="宋体"/>
                <w:szCs w:val="21"/>
                <w:highlight w:val="none"/>
              </w:rPr>
            </w:pPr>
            <w:r>
              <w:rPr>
                <w:rFonts w:hint="eastAsia" w:ascii="宋体" w:hAnsi="宋体" w:cs="宋体"/>
                <w:szCs w:val="21"/>
                <w:highlight w:val="none"/>
              </w:rPr>
              <w:t>满足用户需求，总体服务模式、</w:t>
            </w:r>
            <w:r>
              <w:rPr>
                <w:rFonts w:hint="eastAsia" w:ascii="宋体" w:hAnsi="宋体" w:cs="宋体"/>
                <w:szCs w:val="21"/>
                <w:highlight w:val="none"/>
                <w:lang w:eastAsia="zh-Hans"/>
              </w:rPr>
              <w:t>配套的管理措施</w:t>
            </w:r>
            <w:r>
              <w:rPr>
                <w:rFonts w:hint="eastAsia" w:ascii="宋体" w:hAnsi="宋体" w:cs="宋体"/>
                <w:szCs w:val="21"/>
                <w:highlight w:val="none"/>
              </w:rPr>
              <w:t>及</w:t>
            </w:r>
            <w:r>
              <w:rPr>
                <w:rFonts w:hint="eastAsia"/>
                <w:highlight w:val="none"/>
              </w:rPr>
              <w:t>物业管理咨询服务方案</w:t>
            </w:r>
            <w:r>
              <w:rPr>
                <w:rFonts w:hint="eastAsia" w:ascii="宋体" w:hAnsi="宋体" w:cs="宋体"/>
                <w:szCs w:val="21"/>
                <w:highlight w:val="none"/>
              </w:rPr>
              <w:t xml:space="preserve">科学合理、可行性高,得5分； </w:t>
            </w:r>
          </w:p>
          <w:p>
            <w:pPr>
              <w:numPr>
                <w:ilvl w:val="0"/>
                <w:numId w:val="62"/>
              </w:numPr>
              <w:shd w:val="clear"/>
              <w:jc w:val="left"/>
              <w:rPr>
                <w:rFonts w:ascii="宋体" w:hAnsi="宋体" w:cs="宋体"/>
                <w:szCs w:val="21"/>
                <w:highlight w:val="none"/>
              </w:rPr>
            </w:pPr>
            <w:r>
              <w:rPr>
                <w:rFonts w:hint="eastAsia" w:ascii="宋体" w:hAnsi="宋体" w:cs="宋体"/>
                <w:szCs w:val="21"/>
                <w:highlight w:val="none"/>
              </w:rPr>
              <w:t>满足用户需求，总体服务模式、</w:t>
            </w:r>
            <w:r>
              <w:rPr>
                <w:rFonts w:hint="eastAsia" w:ascii="宋体" w:hAnsi="宋体" w:cs="宋体"/>
                <w:szCs w:val="21"/>
                <w:highlight w:val="none"/>
                <w:lang w:eastAsia="zh-Hans"/>
              </w:rPr>
              <w:t>配套的管理措施</w:t>
            </w:r>
            <w:r>
              <w:rPr>
                <w:rFonts w:hint="eastAsia" w:ascii="宋体" w:hAnsi="宋体" w:cs="宋体"/>
                <w:szCs w:val="21"/>
                <w:highlight w:val="none"/>
              </w:rPr>
              <w:t>及</w:t>
            </w:r>
            <w:r>
              <w:rPr>
                <w:rFonts w:hint="eastAsia"/>
                <w:highlight w:val="none"/>
              </w:rPr>
              <w:t>物业管理咨询服务方案</w:t>
            </w:r>
            <w:r>
              <w:rPr>
                <w:rFonts w:hint="eastAsia" w:ascii="宋体" w:hAnsi="宋体" w:cs="宋体"/>
                <w:szCs w:val="21"/>
                <w:highlight w:val="none"/>
              </w:rPr>
              <w:t>较合理、可行性较高，得3分；</w:t>
            </w:r>
          </w:p>
          <w:p>
            <w:pPr>
              <w:numPr>
                <w:ilvl w:val="0"/>
                <w:numId w:val="62"/>
              </w:numPr>
              <w:shd w:val="clear"/>
              <w:jc w:val="left"/>
              <w:rPr>
                <w:rFonts w:ascii="宋体" w:hAnsi="宋体" w:cs="宋体"/>
                <w:szCs w:val="21"/>
                <w:highlight w:val="none"/>
              </w:rPr>
            </w:pPr>
            <w:r>
              <w:rPr>
                <w:rFonts w:hint="eastAsia" w:ascii="宋体" w:hAnsi="宋体" w:cs="宋体"/>
                <w:szCs w:val="21"/>
                <w:highlight w:val="none"/>
              </w:rPr>
              <w:t>满足用户需求，总体服务模式、</w:t>
            </w:r>
            <w:r>
              <w:rPr>
                <w:rFonts w:hint="eastAsia" w:ascii="宋体" w:hAnsi="宋体" w:cs="宋体"/>
                <w:szCs w:val="21"/>
                <w:highlight w:val="none"/>
                <w:lang w:eastAsia="zh-Hans"/>
              </w:rPr>
              <w:t>配套的管理措施</w:t>
            </w:r>
            <w:r>
              <w:rPr>
                <w:rFonts w:hint="eastAsia" w:ascii="宋体" w:hAnsi="宋体" w:cs="宋体"/>
                <w:szCs w:val="21"/>
                <w:highlight w:val="none"/>
              </w:rPr>
              <w:t>及</w:t>
            </w:r>
            <w:r>
              <w:rPr>
                <w:rFonts w:hint="eastAsia"/>
                <w:highlight w:val="none"/>
              </w:rPr>
              <w:t>物业管理咨询服务方案</w:t>
            </w:r>
            <w:r>
              <w:rPr>
                <w:rFonts w:hint="eastAsia" w:ascii="宋体" w:hAnsi="宋体" w:cs="宋体"/>
                <w:szCs w:val="21"/>
                <w:highlight w:val="none"/>
              </w:rPr>
              <w:t xml:space="preserve">合理性较差、可行性较差，得1分； </w:t>
            </w:r>
          </w:p>
          <w:p>
            <w:pPr>
              <w:numPr>
                <w:ilvl w:val="0"/>
                <w:numId w:val="62"/>
              </w:numPr>
              <w:shd w:val="clear"/>
              <w:jc w:val="left"/>
              <w:rPr>
                <w:rFonts w:ascii="宋体" w:hAnsi="宋体" w:cs="宋体"/>
                <w:szCs w:val="21"/>
                <w:highlight w:val="none"/>
              </w:rPr>
            </w:pPr>
            <w:r>
              <w:rPr>
                <w:rFonts w:hint="eastAsia" w:ascii="宋体" w:hAnsi="宋体" w:cs="宋体"/>
                <w:szCs w:val="21"/>
                <w:highlight w:val="none"/>
              </w:rPr>
              <w:t>不能满足用户需求或总体服务模式、</w:t>
            </w:r>
            <w:r>
              <w:rPr>
                <w:rFonts w:hint="eastAsia" w:ascii="宋体" w:hAnsi="宋体" w:cs="宋体"/>
                <w:szCs w:val="21"/>
                <w:highlight w:val="none"/>
                <w:lang w:eastAsia="zh-Hans"/>
              </w:rPr>
              <w:t>配套的管理措施</w:t>
            </w:r>
            <w:r>
              <w:rPr>
                <w:rFonts w:hint="eastAsia" w:ascii="宋体" w:hAnsi="宋体" w:cs="宋体"/>
                <w:szCs w:val="21"/>
                <w:highlight w:val="none"/>
              </w:rPr>
              <w:t>及</w:t>
            </w:r>
            <w:r>
              <w:rPr>
                <w:rFonts w:hint="eastAsia"/>
                <w:highlight w:val="none"/>
              </w:rPr>
              <w:t>物业管理咨询服务方案</w:t>
            </w:r>
            <w:r>
              <w:rPr>
                <w:rFonts w:hint="eastAsia" w:ascii="宋体" w:hAnsi="宋体" w:cs="宋体"/>
                <w:szCs w:val="21"/>
                <w:highlight w:val="none"/>
              </w:rPr>
              <w:t>不合理、可行性较差或不提供方案</w:t>
            </w:r>
            <w:r>
              <w:rPr>
                <w:rFonts w:hint="eastAsia" w:ascii="宋体" w:hAnsi="宋体" w:cs="宋体"/>
                <w:szCs w:val="21"/>
                <w:highlight w:val="none"/>
                <w:lang w:eastAsia="zh-Hans"/>
              </w:rPr>
              <w:t>不得分</w:t>
            </w:r>
            <w:r>
              <w:rPr>
                <w:rFonts w:hint="eastAsia" w:ascii="宋体" w:hAnsi="宋体" w:cs="宋体"/>
                <w:szCs w:val="21"/>
                <w:highlight w:val="none"/>
              </w:rPr>
              <w:t>。</w:t>
            </w:r>
          </w:p>
          <w:p>
            <w:pPr>
              <w:pStyle w:val="4"/>
              <w:shd w:val="clear"/>
              <w:rPr>
                <w:rFonts w:ascii="宋体" w:hAnsi="宋体" w:cs="宋体"/>
                <w:sz w:val="21"/>
                <w:szCs w:val="21"/>
                <w:highlight w:val="none"/>
              </w:rPr>
            </w:pPr>
            <w:r>
              <w:rPr>
                <w:rFonts w:hint="eastAsia" w:ascii="宋体" w:hAnsi="宋体" w:cs="宋体"/>
                <w:b w:val="0"/>
                <w:bCs w:val="0"/>
                <w:sz w:val="21"/>
                <w:szCs w:val="21"/>
                <w:highlight w:val="none"/>
              </w:rPr>
              <w:t>（提供相关证明材料。）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dxa"/>
            <w:vAlign w:val="center"/>
          </w:tcPr>
          <w:p>
            <w:pPr>
              <w:widowControl/>
              <w:numPr>
                <w:ilvl w:val="0"/>
                <w:numId w:val="60"/>
              </w:numPr>
              <w:shd w:val="clear"/>
              <w:tabs>
                <w:tab w:val="left" w:pos="210"/>
              </w:tabs>
              <w:wordWrap w:val="0"/>
              <w:jc w:val="center"/>
              <w:rPr>
                <w:rFonts w:ascii="宋体" w:hAnsi="宋体" w:cs="宋体"/>
                <w:szCs w:val="21"/>
                <w:highlight w:val="none"/>
              </w:rPr>
            </w:pPr>
          </w:p>
        </w:tc>
        <w:tc>
          <w:tcPr>
            <w:tcW w:w="2147" w:type="dxa"/>
            <w:vAlign w:val="center"/>
          </w:tcPr>
          <w:p>
            <w:pPr>
              <w:shd w:val="clear"/>
              <w:jc w:val="center"/>
              <w:rPr>
                <w:rFonts w:ascii="宋体" w:hAnsi="宋体" w:cs="宋体"/>
                <w:szCs w:val="21"/>
                <w:highlight w:val="none"/>
              </w:rPr>
            </w:pPr>
            <w:r>
              <w:rPr>
                <w:rFonts w:hint="eastAsia" w:ascii="宋体" w:hAnsi="宋体" w:cs="宋体"/>
                <w:kern w:val="0"/>
                <w:szCs w:val="21"/>
                <w:highlight w:val="none"/>
              </w:rPr>
              <w:t>安保服务方案</w:t>
            </w:r>
          </w:p>
        </w:tc>
        <w:tc>
          <w:tcPr>
            <w:tcW w:w="892" w:type="dxa"/>
            <w:vAlign w:val="center"/>
          </w:tcPr>
          <w:p>
            <w:pPr>
              <w:widowControl/>
              <w:shd w:val="clear"/>
              <w:jc w:val="center"/>
              <w:rPr>
                <w:rFonts w:ascii="宋体" w:hAnsi="宋体" w:cs="宋体"/>
                <w:szCs w:val="21"/>
                <w:highlight w:val="none"/>
              </w:rPr>
            </w:pPr>
            <w:r>
              <w:rPr>
                <w:rFonts w:hint="eastAsia" w:ascii="宋体" w:hAnsi="宋体" w:cs="宋体"/>
                <w:szCs w:val="21"/>
                <w:highlight w:val="none"/>
              </w:rPr>
              <w:t>5</w:t>
            </w:r>
          </w:p>
        </w:tc>
        <w:tc>
          <w:tcPr>
            <w:tcW w:w="5449" w:type="dxa"/>
            <w:vAlign w:val="center"/>
          </w:tcPr>
          <w:p>
            <w:pPr>
              <w:shd w:val="clear"/>
              <w:jc w:val="left"/>
              <w:rPr>
                <w:rFonts w:ascii="宋体" w:hAnsi="宋体" w:cs="宋体"/>
                <w:kern w:val="0"/>
                <w:szCs w:val="21"/>
                <w:highlight w:val="none"/>
              </w:rPr>
            </w:pPr>
            <w:r>
              <w:rPr>
                <w:rFonts w:hint="eastAsia" w:ascii="宋体" w:hAnsi="宋体" w:cs="宋体"/>
                <w:kern w:val="0"/>
                <w:szCs w:val="21"/>
                <w:highlight w:val="none"/>
              </w:rPr>
              <w:t>根据各投标人所提供的安保服务方案（</w:t>
            </w:r>
            <w:r>
              <w:rPr>
                <w:rFonts w:hint="eastAsia" w:ascii="宋体" w:hAnsi="宋体" w:cs="宋体"/>
                <w:kern w:val="0"/>
                <w:szCs w:val="21"/>
                <w:highlight w:val="none"/>
                <w:lang w:eastAsia="zh-Hans"/>
              </w:rPr>
              <w:t>包括但不限</w:t>
            </w:r>
            <w:r>
              <w:rPr>
                <w:rFonts w:hint="eastAsia" w:ascii="宋体" w:hAnsi="宋体" w:cs="宋体"/>
                <w:kern w:val="0"/>
                <w:szCs w:val="21"/>
                <w:highlight w:val="none"/>
              </w:rPr>
              <w:t>于</w:t>
            </w:r>
            <w:r>
              <w:rPr>
                <w:rFonts w:hint="eastAsia" w:ascii="宋体" w:hAnsi="宋体" w:cs="宋体"/>
                <w:kern w:val="0"/>
                <w:szCs w:val="21"/>
                <w:highlight w:val="none"/>
                <w:lang w:eastAsia="zh-Hans"/>
              </w:rPr>
              <w:t>公共安全秩序维护、交通秩序管理、消防安全管理等）</w:t>
            </w:r>
            <w:r>
              <w:rPr>
                <w:rFonts w:hint="eastAsia" w:ascii="宋体" w:hAnsi="宋体" w:cs="宋体"/>
                <w:kern w:val="0"/>
                <w:szCs w:val="21"/>
                <w:highlight w:val="none"/>
              </w:rPr>
              <w:t>进行综合评审：</w:t>
            </w:r>
          </w:p>
          <w:p>
            <w:pPr>
              <w:numPr>
                <w:ilvl w:val="0"/>
                <w:numId w:val="63"/>
              </w:numPr>
              <w:shd w:val="clear"/>
              <w:jc w:val="left"/>
              <w:rPr>
                <w:rFonts w:ascii="宋体" w:hAnsi="宋体" w:cs="宋体"/>
                <w:kern w:val="0"/>
                <w:szCs w:val="21"/>
                <w:highlight w:val="none"/>
              </w:rPr>
            </w:pPr>
            <w:r>
              <w:rPr>
                <w:rFonts w:hint="eastAsia" w:ascii="宋体" w:hAnsi="宋体" w:cs="宋体"/>
                <w:kern w:val="0"/>
                <w:szCs w:val="21"/>
                <w:highlight w:val="none"/>
              </w:rPr>
              <w:t xml:space="preserve">有详细的安保服务方案，能详细且准确地描述出项目实施中各安保事项的内容、具体任务。岗位责任落实到位、清晰且能科学地把握各个关键节点，逻辑性强，可操作性强，能提出优于用户需求书的承诺，得5分； </w:t>
            </w:r>
          </w:p>
          <w:p>
            <w:pPr>
              <w:numPr>
                <w:ilvl w:val="0"/>
                <w:numId w:val="63"/>
              </w:numPr>
              <w:shd w:val="clear"/>
              <w:jc w:val="left"/>
              <w:rPr>
                <w:rFonts w:ascii="宋体" w:hAnsi="宋体" w:cs="宋体"/>
                <w:kern w:val="0"/>
                <w:szCs w:val="21"/>
                <w:highlight w:val="none"/>
              </w:rPr>
            </w:pPr>
            <w:r>
              <w:rPr>
                <w:rFonts w:hint="eastAsia" w:ascii="宋体" w:hAnsi="宋体" w:cs="宋体"/>
                <w:kern w:val="0"/>
                <w:szCs w:val="21"/>
                <w:highlight w:val="none"/>
              </w:rPr>
              <w:t xml:space="preserve">有较为详细的安保服务方案，较准确地描述出项目实施中各安保事项的基本内容，基本任务。有相对明确的岗位责任制度，基本能把控好各个关键节点，可操作性较强，有一定针对性，完全满足用户需求书的，得3分； </w:t>
            </w:r>
          </w:p>
          <w:p>
            <w:pPr>
              <w:numPr>
                <w:ilvl w:val="0"/>
                <w:numId w:val="63"/>
              </w:numPr>
              <w:shd w:val="clear"/>
              <w:rPr>
                <w:rFonts w:ascii="宋体" w:hAnsi="宋体" w:cs="宋体"/>
                <w:szCs w:val="21"/>
                <w:highlight w:val="none"/>
              </w:rPr>
            </w:pPr>
            <w:r>
              <w:rPr>
                <w:rFonts w:hint="eastAsia" w:ascii="宋体" w:hAnsi="宋体" w:cs="宋体"/>
                <w:kern w:val="0"/>
                <w:szCs w:val="21"/>
                <w:highlight w:val="none"/>
              </w:rPr>
              <w:t>有基本的安保服务方案，基本能指出各安保事项的基本内容，基本任务。亦有对关键节点进行描述，内容基本满足用户需求书的，得1分；</w:t>
            </w:r>
          </w:p>
          <w:p>
            <w:pPr>
              <w:numPr>
                <w:ilvl w:val="0"/>
                <w:numId w:val="63"/>
              </w:numPr>
              <w:shd w:val="clear"/>
              <w:rPr>
                <w:rFonts w:ascii="宋体" w:hAnsi="宋体" w:cs="宋体"/>
                <w:szCs w:val="21"/>
                <w:highlight w:val="none"/>
              </w:rPr>
            </w:pPr>
            <w:r>
              <w:rPr>
                <w:rFonts w:hint="eastAsia" w:ascii="宋体" w:hAnsi="宋体" w:cs="宋体"/>
                <w:kern w:val="0"/>
                <w:szCs w:val="21"/>
                <w:highlight w:val="none"/>
              </w:rPr>
              <w:t>不提供方案</w:t>
            </w:r>
            <w:r>
              <w:rPr>
                <w:rFonts w:hint="eastAsia" w:ascii="宋体" w:hAnsi="宋体" w:cs="宋体"/>
                <w:kern w:val="0"/>
                <w:szCs w:val="21"/>
                <w:highlight w:val="none"/>
                <w:lang w:eastAsia="zh-Hans"/>
              </w:rPr>
              <w:t>不得分</w:t>
            </w:r>
            <w:r>
              <w:rPr>
                <w:rFonts w:hint="eastAsia" w:ascii="宋体" w:hAnsi="宋体" w:cs="宋体"/>
                <w:kern w:val="0"/>
                <w:szCs w:val="21"/>
                <w:highlight w:val="none"/>
              </w:rPr>
              <w:t>。</w:t>
            </w:r>
          </w:p>
          <w:p>
            <w:pPr>
              <w:shd w:val="clear"/>
              <w:rPr>
                <w:rFonts w:ascii="宋体" w:hAnsi="宋体" w:cs="宋体"/>
                <w:szCs w:val="21"/>
                <w:highlight w:val="none"/>
              </w:rPr>
            </w:pPr>
            <w:r>
              <w:rPr>
                <w:rFonts w:hint="eastAsia" w:ascii="宋体" w:hAnsi="宋体" w:cs="宋体"/>
                <w:kern w:val="0"/>
                <w:szCs w:val="21"/>
                <w:highlight w:val="none"/>
              </w:rPr>
              <w:t>（提供相关证明材料。）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dxa"/>
            <w:vAlign w:val="center"/>
          </w:tcPr>
          <w:p>
            <w:pPr>
              <w:widowControl/>
              <w:numPr>
                <w:ilvl w:val="0"/>
                <w:numId w:val="60"/>
              </w:numPr>
              <w:shd w:val="clear"/>
              <w:tabs>
                <w:tab w:val="left" w:pos="210"/>
              </w:tabs>
              <w:wordWrap w:val="0"/>
              <w:jc w:val="center"/>
              <w:rPr>
                <w:rFonts w:ascii="宋体" w:hAnsi="宋体" w:cs="宋体"/>
                <w:szCs w:val="21"/>
                <w:highlight w:val="none"/>
              </w:rPr>
            </w:pPr>
          </w:p>
        </w:tc>
        <w:tc>
          <w:tcPr>
            <w:tcW w:w="2147" w:type="dxa"/>
            <w:vAlign w:val="center"/>
          </w:tcPr>
          <w:p>
            <w:pPr>
              <w:shd w:val="clear"/>
              <w:jc w:val="center"/>
              <w:rPr>
                <w:rFonts w:ascii="宋体" w:hAnsi="宋体" w:cs="宋体"/>
                <w:szCs w:val="21"/>
                <w:highlight w:val="none"/>
              </w:rPr>
            </w:pPr>
            <w:r>
              <w:rPr>
                <w:rFonts w:hint="eastAsia" w:ascii="宋体" w:hAnsi="宋体" w:cs="宋体"/>
                <w:kern w:val="0"/>
                <w:szCs w:val="21"/>
                <w:highlight w:val="none"/>
              </w:rPr>
              <w:t>工程服务方案</w:t>
            </w:r>
          </w:p>
        </w:tc>
        <w:tc>
          <w:tcPr>
            <w:tcW w:w="892" w:type="dxa"/>
            <w:vAlign w:val="center"/>
          </w:tcPr>
          <w:p>
            <w:pPr>
              <w:widowControl/>
              <w:shd w:val="clear"/>
              <w:jc w:val="center"/>
              <w:rPr>
                <w:rFonts w:ascii="宋体" w:hAnsi="宋体" w:cs="宋体"/>
                <w:szCs w:val="21"/>
                <w:highlight w:val="none"/>
              </w:rPr>
            </w:pPr>
            <w:r>
              <w:rPr>
                <w:rFonts w:hint="eastAsia" w:ascii="宋体" w:hAnsi="宋体" w:cs="宋体"/>
                <w:szCs w:val="21"/>
                <w:highlight w:val="none"/>
              </w:rPr>
              <w:t>4</w:t>
            </w:r>
          </w:p>
        </w:tc>
        <w:tc>
          <w:tcPr>
            <w:tcW w:w="5449" w:type="dxa"/>
            <w:vAlign w:val="center"/>
          </w:tcPr>
          <w:p>
            <w:pPr>
              <w:shd w:val="clear"/>
              <w:jc w:val="left"/>
              <w:rPr>
                <w:rFonts w:ascii="宋体" w:hAnsi="宋体" w:cs="宋体"/>
                <w:kern w:val="0"/>
                <w:szCs w:val="21"/>
                <w:highlight w:val="none"/>
              </w:rPr>
            </w:pPr>
            <w:r>
              <w:rPr>
                <w:rFonts w:hint="eastAsia" w:ascii="宋体" w:hAnsi="宋体" w:cs="宋体"/>
                <w:kern w:val="0"/>
                <w:szCs w:val="21"/>
                <w:highlight w:val="none"/>
              </w:rPr>
              <w:t>根据各投标人所提供的工程服务方案（</w:t>
            </w:r>
            <w:r>
              <w:rPr>
                <w:rFonts w:hint="eastAsia" w:ascii="宋体" w:hAnsi="宋体" w:cs="宋体"/>
                <w:kern w:val="0"/>
                <w:szCs w:val="21"/>
                <w:highlight w:val="none"/>
                <w:lang w:eastAsia="zh-Hans"/>
              </w:rPr>
              <w:t>包括但不限</w:t>
            </w:r>
            <w:r>
              <w:rPr>
                <w:rFonts w:hint="eastAsia" w:ascii="宋体" w:hAnsi="宋体" w:cs="宋体"/>
                <w:kern w:val="0"/>
                <w:szCs w:val="21"/>
                <w:highlight w:val="none"/>
              </w:rPr>
              <w:t>于对</w:t>
            </w:r>
            <w:r>
              <w:rPr>
                <w:rFonts w:hint="eastAsia" w:ascii="宋体" w:hAnsi="宋体" w:cs="宋体"/>
                <w:kern w:val="0"/>
                <w:szCs w:val="21"/>
                <w:highlight w:val="none"/>
                <w:lang w:eastAsia="zh-Hans"/>
              </w:rPr>
              <w:t>公共照明系统、给排水系统、排污系统、弱电系统、中央空调系统、电梯</w:t>
            </w:r>
            <w:r>
              <w:rPr>
                <w:rFonts w:hint="eastAsia" w:ascii="宋体" w:hAnsi="宋体" w:cs="宋体"/>
                <w:kern w:val="0"/>
                <w:szCs w:val="21"/>
                <w:highlight w:val="none"/>
              </w:rPr>
              <w:t>维护管理和维修</w:t>
            </w:r>
            <w:r>
              <w:rPr>
                <w:rFonts w:hint="eastAsia" w:ascii="宋体" w:hAnsi="宋体" w:cs="宋体"/>
                <w:kern w:val="0"/>
                <w:szCs w:val="21"/>
                <w:highlight w:val="none"/>
                <w:lang w:eastAsia="zh-Hans"/>
              </w:rPr>
              <w:t>等）</w:t>
            </w:r>
            <w:r>
              <w:rPr>
                <w:rFonts w:hint="eastAsia" w:ascii="宋体" w:hAnsi="宋体" w:cs="宋体"/>
                <w:kern w:val="0"/>
                <w:szCs w:val="21"/>
                <w:highlight w:val="none"/>
              </w:rPr>
              <w:t>进行综合评审：</w:t>
            </w:r>
          </w:p>
          <w:p>
            <w:pPr>
              <w:numPr>
                <w:ilvl w:val="0"/>
                <w:numId w:val="64"/>
              </w:numPr>
              <w:shd w:val="clear"/>
              <w:jc w:val="left"/>
              <w:rPr>
                <w:rFonts w:ascii="宋体" w:hAnsi="宋体" w:cs="宋体"/>
                <w:kern w:val="0"/>
                <w:szCs w:val="21"/>
                <w:highlight w:val="none"/>
              </w:rPr>
            </w:pPr>
            <w:r>
              <w:rPr>
                <w:rFonts w:hint="eastAsia" w:ascii="宋体" w:hAnsi="宋体" w:cs="宋体"/>
                <w:kern w:val="0"/>
                <w:szCs w:val="21"/>
                <w:highlight w:val="none"/>
              </w:rPr>
              <w:t xml:space="preserve">有详细的设施设备维护管理和维修方案，能详细且准确地描述出项目实施中各设施设备维护管理和维修事项的内容、具体任务。岗位责任落实到位、清晰且能科学地把握各个关键节点，逻辑性强，可操作性强，能提出优于用户需求书的承诺，得4分； </w:t>
            </w:r>
          </w:p>
          <w:p>
            <w:pPr>
              <w:numPr>
                <w:ilvl w:val="0"/>
                <w:numId w:val="64"/>
              </w:numPr>
              <w:shd w:val="clear"/>
              <w:jc w:val="left"/>
              <w:rPr>
                <w:rFonts w:ascii="宋体" w:hAnsi="宋体" w:cs="宋体"/>
                <w:kern w:val="0"/>
                <w:szCs w:val="21"/>
                <w:highlight w:val="none"/>
              </w:rPr>
            </w:pPr>
            <w:r>
              <w:rPr>
                <w:rFonts w:hint="eastAsia" w:ascii="宋体" w:hAnsi="宋体" w:cs="宋体"/>
                <w:kern w:val="0"/>
                <w:szCs w:val="21"/>
                <w:highlight w:val="none"/>
              </w:rPr>
              <w:t xml:space="preserve">有较为详细的设施设备维护管理和维修方案，较准确地描述出项目实施中各设施设备维护管理和维修事项的基本内容，基本任务。有相对明确的岗位责任制度，基本能把控好各个关键节点，可操作性较强，有一定针对性，完全满足用户需求书的，得2分； </w:t>
            </w:r>
          </w:p>
          <w:p>
            <w:pPr>
              <w:numPr>
                <w:ilvl w:val="0"/>
                <w:numId w:val="64"/>
              </w:numPr>
              <w:shd w:val="clear"/>
              <w:jc w:val="left"/>
              <w:rPr>
                <w:rFonts w:ascii="宋体" w:hAnsi="宋体" w:cs="宋体"/>
                <w:szCs w:val="21"/>
                <w:highlight w:val="none"/>
              </w:rPr>
            </w:pPr>
            <w:r>
              <w:rPr>
                <w:rFonts w:hint="eastAsia" w:ascii="宋体" w:hAnsi="宋体" w:cs="宋体"/>
                <w:kern w:val="0"/>
                <w:szCs w:val="21"/>
                <w:highlight w:val="none"/>
              </w:rPr>
              <w:t xml:space="preserve">有基本的设施设备维护管理和维修方案，基本能指出各设施设备维护管理和维修事项的基本内容，基本任务。亦有对关键节点进行描述，内容基本满足用户需求书的，得1分； </w:t>
            </w:r>
          </w:p>
          <w:p>
            <w:pPr>
              <w:numPr>
                <w:ilvl w:val="0"/>
                <w:numId w:val="64"/>
              </w:numPr>
              <w:shd w:val="clear"/>
              <w:jc w:val="left"/>
              <w:rPr>
                <w:rFonts w:ascii="宋体" w:hAnsi="宋体" w:cs="宋体"/>
                <w:szCs w:val="21"/>
                <w:highlight w:val="none"/>
              </w:rPr>
            </w:pPr>
            <w:r>
              <w:rPr>
                <w:rFonts w:hint="eastAsia" w:ascii="宋体" w:hAnsi="宋体" w:cs="宋体"/>
                <w:kern w:val="0"/>
                <w:szCs w:val="21"/>
                <w:highlight w:val="none"/>
              </w:rPr>
              <w:t>不提供方案</w:t>
            </w:r>
            <w:r>
              <w:rPr>
                <w:rFonts w:hint="eastAsia" w:ascii="宋体" w:hAnsi="宋体" w:cs="宋体"/>
                <w:kern w:val="0"/>
                <w:szCs w:val="21"/>
                <w:highlight w:val="none"/>
                <w:lang w:eastAsia="zh-Hans"/>
              </w:rPr>
              <w:t>不得分</w:t>
            </w:r>
            <w:r>
              <w:rPr>
                <w:rFonts w:hint="eastAsia" w:ascii="宋体" w:hAnsi="宋体" w:cs="宋体"/>
                <w:kern w:val="0"/>
                <w:szCs w:val="21"/>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838" w:type="dxa"/>
            <w:vAlign w:val="center"/>
          </w:tcPr>
          <w:p>
            <w:pPr>
              <w:widowControl/>
              <w:numPr>
                <w:ilvl w:val="0"/>
                <w:numId w:val="60"/>
              </w:numPr>
              <w:shd w:val="clear"/>
              <w:tabs>
                <w:tab w:val="left" w:pos="210"/>
              </w:tabs>
              <w:wordWrap w:val="0"/>
              <w:jc w:val="center"/>
              <w:rPr>
                <w:rFonts w:ascii="宋体" w:hAnsi="宋体" w:cs="宋体"/>
                <w:szCs w:val="21"/>
                <w:highlight w:val="none"/>
              </w:rPr>
            </w:pPr>
          </w:p>
        </w:tc>
        <w:tc>
          <w:tcPr>
            <w:tcW w:w="2147" w:type="dxa"/>
            <w:vAlign w:val="center"/>
          </w:tcPr>
          <w:p>
            <w:pPr>
              <w:shd w:val="clear"/>
              <w:jc w:val="center"/>
              <w:rPr>
                <w:rFonts w:ascii="宋体" w:hAnsi="宋体" w:cs="宋体"/>
                <w:szCs w:val="21"/>
                <w:highlight w:val="none"/>
              </w:rPr>
            </w:pPr>
            <w:r>
              <w:rPr>
                <w:rFonts w:hint="eastAsia" w:ascii="宋体" w:hAnsi="宋体" w:cs="宋体"/>
                <w:kern w:val="0"/>
                <w:szCs w:val="21"/>
                <w:highlight w:val="none"/>
                <w:lang w:eastAsia="zh-Hans"/>
              </w:rPr>
              <w:t>环境</w:t>
            </w:r>
            <w:r>
              <w:rPr>
                <w:rFonts w:hint="eastAsia" w:ascii="宋体" w:hAnsi="宋体" w:cs="宋体"/>
                <w:kern w:val="0"/>
                <w:szCs w:val="21"/>
                <w:highlight w:val="none"/>
              </w:rPr>
              <w:t>保洁服务方案</w:t>
            </w:r>
          </w:p>
        </w:tc>
        <w:tc>
          <w:tcPr>
            <w:tcW w:w="892" w:type="dxa"/>
            <w:vAlign w:val="center"/>
          </w:tcPr>
          <w:p>
            <w:pPr>
              <w:widowControl/>
              <w:shd w:val="clear"/>
              <w:jc w:val="center"/>
              <w:rPr>
                <w:rFonts w:ascii="宋体" w:hAnsi="宋体" w:cs="宋体"/>
                <w:szCs w:val="21"/>
                <w:highlight w:val="none"/>
              </w:rPr>
            </w:pPr>
            <w:r>
              <w:rPr>
                <w:rFonts w:hint="eastAsia" w:ascii="宋体" w:hAnsi="宋体" w:cs="宋体"/>
                <w:szCs w:val="21"/>
                <w:highlight w:val="none"/>
              </w:rPr>
              <w:t>4</w:t>
            </w:r>
          </w:p>
        </w:tc>
        <w:tc>
          <w:tcPr>
            <w:tcW w:w="5449" w:type="dxa"/>
            <w:vAlign w:val="center"/>
          </w:tcPr>
          <w:p>
            <w:pPr>
              <w:shd w:val="clear"/>
              <w:jc w:val="left"/>
              <w:rPr>
                <w:rFonts w:ascii="宋体" w:hAnsi="宋体" w:cs="宋体"/>
                <w:kern w:val="0"/>
                <w:szCs w:val="21"/>
                <w:highlight w:val="none"/>
              </w:rPr>
            </w:pPr>
            <w:r>
              <w:rPr>
                <w:rFonts w:hint="eastAsia" w:ascii="宋体" w:hAnsi="宋体" w:cs="宋体"/>
                <w:kern w:val="0"/>
                <w:szCs w:val="21"/>
                <w:highlight w:val="none"/>
              </w:rPr>
              <w:t>根据各投标人所提供的</w:t>
            </w:r>
            <w:r>
              <w:rPr>
                <w:rFonts w:hint="eastAsia" w:ascii="宋体" w:hAnsi="宋体" w:cs="宋体"/>
                <w:kern w:val="0"/>
                <w:szCs w:val="21"/>
                <w:highlight w:val="none"/>
                <w:lang w:eastAsia="zh-Hans"/>
              </w:rPr>
              <w:t>环境</w:t>
            </w:r>
            <w:r>
              <w:rPr>
                <w:rFonts w:hint="eastAsia" w:ascii="宋体" w:hAnsi="宋体" w:cs="宋体"/>
                <w:kern w:val="0"/>
                <w:szCs w:val="21"/>
                <w:highlight w:val="none"/>
              </w:rPr>
              <w:t>保洁服务方案（</w:t>
            </w:r>
            <w:r>
              <w:rPr>
                <w:rFonts w:hint="eastAsia" w:ascii="宋体" w:hAnsi="宋体" w:cs="宋体"/>
                <w:kern w:val="0"/>
                <w:szCs w:val="21"/>
                <w:highlight w:val="none"/>
                <w:lang w:eastAsia="zh-Hans"/>
              </w:rPr>
              <w:t>包括但不限于日常清洁、专业清洁、防疫卫生、</w:t>
            </w:r>
            <w:r>
              <w:rPr>
                <w:rFonts w:hint="eastAsia" w:ascii="宋体" w:hAnsi="宋体" w:cs="宋体"/>
                <w:szCs w:val="21"/>
                <w:highlight w:val="none"/>
              </w:rPr>
              <w:t>垃圾分类收归处理、垃圾分类培训</w:t>
            </w:r>
            <w:r>
              <w:rPr>
                <w:rFonts w:hint="eastAsia" w:ascii="宋体" w:hAnsi="宋体" w:cs="宋体"/>
                <w:szCs w:val="21"/>
                <w:highlight w:val="none"/>
                <w:lang w:eastAsia="zh-Hans"/>
              </w:rPr>
              <w:t>等）</w:t>
            </w:r>
            <w:r>
              <w:rPr>
                <w:rFonts w:hint="eastAsia" w:ascii="宋体" w:hAnsi="宋体" w:cs="宋体"/>
                <w:kern w:val="0"/>
                <w:szCs w:val="21"/>
                <w:highlight w:val="none"/>
              </w:rPr>
              <w:t>进行综合评审：</w:t>
            </w:r>
          </w:p>
          <w:p>
            <w:pPr>
              <w:numPr>
                <w:ilvl w:val="0"/>
                <w:numId w:val="65"/>
              </w:numPr>
              <w:shd w:val="clear"/>
              <w:jc w:val="left"/>
              <w:rPr>
                <w:rFonts w:ascii="宋体" w:hAnsi="宋体" w:cs="宋体"/>
                <w:kern w:val="0"/>
                <w:szCs w:val="21"/>
                <w:highlight w:val="none"/>
              </w:rPr>
            </w:pPr>
            <w:r>
              <w:rPr>
                <w:rFonts w:hint="eastAsia" w:ascii="宋体" w:hAnsi="宋体" w:cs="宋体"/>
                <w:kern w:val="0"/>
                <w:szCs w:val="21"/>
                <w:highlight w:val="none"/>
                <w:lang w:eastAsia="zh-Hans"/>
              </w:rPr>
              <w:t>环境</w:t>
            </w:r>
            <w:r>
              <w:rPr>
                <w:rFonts w:hint="eastAsia" w:ascii="宋体" w:hAnsi="宋体" w:cs="宋体"/>
                <w:kern w:val="0"/>
                <w:szCs w:val="21"/>
                <w:highlight w:val="none"/>
              </w:rPr>
              <w:t xml:space="preserve">保洁服务方案针对性强、有创新且提供的方案科学合理，可操作性高，完全满足且优于用户需求书，得4分； </w:t>
            </w:r>
          </w:p>
          <w:p>
            <w:pPr>
              <w:numPr>
                <w:ilvl w:val="0"/>
                <w:numId w:val="65"/>
              </w:numPr>
              <w:shd w:val="clear"/>
              <w:jc w:val="left"/>
              <w:rPr>
                <w:rFonts w:ascii="宋体" w:hAnsi="宋体" w:cs="宋体"/>
                <w:kern w:val="0"/>
                <w:szCs w:val="21"/>
                <w:highlight w:val="none"/>
              </w:rPr>
            </w:pPr>
            <w:r>
              <w:rPr>
                <w:rFonts w:hint="eastAsia" w:ascii="宋体" w:hAnsi="宋体" w:cs="宋体"/>
                <w:kern w:val="0"/>
                <w:szCs w:val="21"/>
                <w:highlight w:val="none"/>
                <w:lang w:eastAsia="zh-Hans"/>
              </w:rPr>
              <w:t>环境</w:t>
            </w:r>
            <w:r>
              <w:rPr>
                <w:rFonts w:hint="eastAsia" w:ascii="宋体" w:hAnsi="宋体" w:cs="宋体"/>
                <w:kern w:val="0"/>
                <w:szCs w:val="21"/>
                <w:highlight w:val="none"/>
              </w:rPr>
              <w:t xml:space="preserve">保洁服务方案分析较合理、较有针对性、可操作性一般，完全满足用户需求书，得2分； </w:t>
            </w:r>
          </w:p>
          <w:p>
            <w:pPr>
              <w:numPr>
                <w:ilvl w:val="0"/>
                <w:numId w:val="65"/>
              </w:numPr>
              <w:shd w:val="clear"/>
              <w:jc w:val="left"/>
              <w:rPr>
                <w:rFonts w:ascii="宋体" w:hAnsi="宋体" w:cs="宋体"/>
                <w:kern w:val="0"/>
                <w:szCs w:val="21"/>
                <w:highlight w:val="none"/>
              </w:rPr>
            </w:pPr>
            <w:r>
              <w:rPr>
                <w:rFonts w:hint="eastAsia" w:ascii="宋体" w:hAnsi="宋体" w:cs="宋体"/>
                <w:kern w:val="0"/>
                <w:szCs w:val="21"/>
                <w:highlight w:val="none"/>
                <w:lang w:eastAsia="zh-Hans"/>
              </w:rPr>
              <w:t>环境</w:t>
            </w:r>
            <w:r>
              <w:rPr>
                <w:rFonts w:hint="eastAsia" w:ascii="宋体" w:hAnsi="宋体" w:cs="宋体"/>
                <w:kern w:val="0"/>
                <w:szCs w:val="21"/>
                <w:highlight w:val="none"/>
              </w:rPr>
              <w:t xml:space="preserve">保洁服务方案分析欠缺、缺乏针对性、可操作性较差，不能完全满足用户需求书，得1分； </w:t>
            </w:r>
          </w:p>
          <w:p>
            <w:pPr>
              <w:numPr>
                <w:ilvl w:val="0"/>
                <w:numId w:val="65"/>
              </w:numPr>
              <w:shd w:val="clear"/>
              <w:jc w:val="left"/>
              <w:rPr>
                <w:rFonts w:ascii="宋体" w:hAnsi="宋体" w:cs="宋体"/>
                <w:szCs w:val="21"/>
                <w:highlight w:val="none"/>
              </w:rPr>
            </w:pPr>
            <w:r>
              <w:rPr>
                <w:rFonts w:hint="eastAsia" w:ascii="宋体" w:hAnsi="宋体" w:cs="宋体"/>
                <w:kern w:val="0"/>
                <w:szCs w:val="21"/>
                <w:highlight w:val="none"/>
              </w:rPr>
              <w:t>不提供方案</w:t>
            </w:r>
            <w:r>
              <w:rPr>
                <w:rFonts w:hint="eastAsia" w:ascii="宋体" w:hAnsi="宋体" w:cs="宋体"/>
                <w:kern w:val="0"/>
                <w:szCs w:val="21"/>
                <w:highlight w:val="none"/>
                <w:lang w:eastAsia="zh-Hans"/>
              </w:rPr>
              <w:t>不得分</w:t>
            </w:r>
            <w:r>
              <w:rPr>
                <w:rFonts w:hint="eastAsia" w:ascii="宋体" w:hAnsi="宋体" w:cs="宋体"/>
                <w:kern w:val="0"/>
                <w:szCs w:val="21"/>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dxa"/>
            <w:vAlign w:val="center"/>
          </w:tcPr>
          <w:p>
            <w:pPr>
              <w:widowControl/>
              <w:numPr>
                <w:ilvl w:val="0"/>
                <w:numId w:val="60"/>
              </w:numPr>
              <w:shd w:val="clear"/>
              <w:tabs>
                <w:tab w:val="left" w:pos="210"/>
              </w:tabs>
              <w:wordWrap w:val="0"/>
              <w:jc w:val="center"/>
              <w:rPr>
                <w:rFonts w:ascii="宋体" w:hAnsi="宋体" w:cs="宋体"/>
                <w:szCs w:val="21"/>
                <w:highlight w:val="none"/>
              </w:rPr>
            </w:pPr>
          </w:p>
        </w:tc>
        <w:tc>
          <w:tcPr>
            <w:tcW w:w="2147" w:type="dxa"/>
            <w:vAlign w:val="center"/>
          </w:tcPr>
          <w:p>
            <w:pPr>
              <w:shd w:val="clear"/>
              <w:jc w:val="center"/>
              <w:rPr>
                <w:rFonts w:ascii="宋体" w:hAnsi="宋体" w:cs="宋体"/>
                <w:szCs w:val="21"/>
                <w:highlight w:val="none"/>
              </w:rPr>
            </w:pPr>
            <w:r>
              <w:rPr>
                <w:rFonts w:hint="eastAsia" w:ascii="宋体" w:hAnsi="宋体" w:cs="宋体"/>
                <w:kern w:val="0"/>
                <w:szCs w:val="21"/>
                <w:highlight w:val="none"/>
              </w:rPr>
              <w:t>绿化养护服务方案</w:t>
            </w:r>
          </w:p>
        </w:tc>
        <w:tc>
          <w:tcPr>
            <w:tcW w:w="892" w:type="dxa"/>
            <w:vAlign w:val="center"/>
          </w:tcPr>
          <w:p>
            <w:pPr>
              <w:widowControl/>
              <w:shd w:val="clear"/>
              <w:jc w:val="center"/>
              <w:rPr>
                <w:rFonts w:ascii="宋体" w:hAnsi="宋体" w:cs="宋体"/>
                <w:szCs w:val="21"/>
                <w:highlight w:val="none"/>
              </w:rPr>
            </w:pPr>
            <w:r>
              <w:rPr>
                <w:rFonts w:hint="eastAsia" w:ascii="宋体" w:hAnsi="宋体" w:cs="宋体"/>
                <w:szCs w:val="21"/>
                <w:highlight w:val="none"/>
              </w:rPr>
              <w:t>4</w:t>
            </w:r>
          </w:p>
        </w:tc>
        <w:tc>
          <w:tcPr>
            <w:tcW w:w="5449" w:type="dxa"/>
            <w:vAlign w:val="center"/>
          </w:tcPr>
          <w:p>
            <w:pPr>
              <w:shd w:val="clear"/>
              <w:jc w:val="left"/>
              <w:rPr>
                <w:rFonts w:ascii="宋体" w:hAnsi="宋体" w:cs="宋体"/>
                <w:kern w:val="0"/>
                <w:szCs w:val="21"/>
                <w:highlight w:val="none"/>
              </w:rPr>
            </w:pPr>
            <w:r>
              <w:rPr>
                <w:rFonts w:hint="eastAsia" w:ascii="宋体" w:hAnsi="宋体" w:cs="宋体"/>
                <w:kern w:val="0"/>
                <w:szCs w:val="21"/>
                <w:highlight w:val="none"/>
              </w:rPr>
              <w:t>根据各投标人所提供的绿化养护服务方案（</w:t>
            </w:r>
            <w:r>
              <w:rPr>
                <w:rFonts w:hint="eastAsia" w:ascii="宋体" w:hAnsi="宋体" w:cs="宋体"/>
                <w:kern w:val="0"/>
                <w:szCs w:val="21"/>
                <w:highlight w:val="none"/>
                <w:lang w:eastAsia="zh-Hans"/>
              </w:rPr>
              <w:t>包括但不限于绿植租摆、四害消杀、乔木、灌木浇灌、修剪、施肥等）</w:t>
            </w:r>
            <w:r>
              <w:rPr>
                <w:rFonts w:hint="eastAsia" w:ascii="宋体" w:hAnsi="宋体" w:cs="宋体"/>
                <w:kern w:val="0"/>
                <w:szCs w:val="21"/>
                <w:highlight w:val="none"/>
              </w:rPr>
              <w:t>进行综合评审：</w:t>
            </w:r>
          </w:p>
          <w:p>
            <w:pPr>
              <w:numPr>
                <w:ilvl w:val="0"/>
                <w:numId w:val="66"/>
              </w:numPr>
              <w:shd w:val="clear"/>
              <w:jc w:val="left"/>
              <w:rPr>
                <w:rFonts w:ascii="宋体" w:hAnsi="宋体" w:cs="宋体"/>
                <w:kern w:val="0"/>
                <w:szCs w:val="21"/>
                <w:highlight w:val="none"/>
              </w:rPr>
            </w:pPr>
            <w:r>
              <w:rPr>
                <w:rFonts w:hint="eastAsia" w:ascii="宋体" w:hAnsi="宋体" w:cs="宋体"/>
                <w:kern w:val="0"/>
                <w:szCs w:val="21"/>
                <w:highlight w:val="none"/>
              </w:rPr>
              <w:t xml:space="preserve">绿化服务方案针对性强、有创新且提供的方案科学合理，可操作性高，完全满足且优于用户需求书，得4分； </w:t>
            </w:r>
          </w:p>
          <w:p>
            <w:pPr>
              <w:numPr>
                <w:ilvl w:val="0"/>
                <w:numId w:val="66"/>
              </w:numPr>
              <w:shd w:val="clear"/>
              <w:jc w:val="left"/>
              <w:rPr>
                <w:rFonts w:ascii="宋体" w:hAnsi="宋体" w:cs="宋体"/>
                <w:kern w:val="0"/>
                <w:szCs w:val="21"/>
                <w:highlight w:val="none"/>
              </w:rPr>
            </w:pPr>
            <w:r>
              <w:rPr>
                <w:rFonts w:hint="eastAsia" w:ascii="宋体" w:hAnsi="宋体" w:cs="宋体"/>
                <w:kern w:val="0"/>
                <w:szCs w:val="21"/>
                <w:highlight w:val="none"/>
              </w:rPr>
              <w:t xml:space="preserve">绿化服务方案分析较合理、较有针对性、可操作性较合理，完全满足用户需求书，得2分； </w:t>
            </w:r>
          </w:p>
          <w:p>
            <w:pPr>
              <w:numPr>
                <w:ilvl w:val="0"/>
                <w:numId w:val="66"/>
              </w:numPr>
              <w:shd w:val="clear"/>
              <w:jc w:val="left"/>
              <w:rPr>
                <w:rFonts w:ascii="宋体" w:hAnsi="宋体" w:cs="宋体"/>
                <w:kern w:val="0"/>
                <w:szCs w:val="21"/>
                <w:highlight w:val="none"/>
              </w:rPr>
            </w:pPr>
            <w:r>
              <w:rPr>
                <w:rFonts w:hint="eastAsia" w:ascii="宋体" w:hAnsi="宋体" w:cs="宋体"/>
                <w:kern w:val="0"/>
                <w:szCs w:val="21"/>
                <w:highlight w:val="none"/>
              </w:rPr>
              <w:t xml:space="preserve">绿化服务方案分析欠缺、缺乏针对性、可操作性较差，不能完全满足用户需求书，得1分； </w:t>
            </w:r>
          </w:p>
          <w:p>
            <w:pPr>
              <w:numPr>
                <w:ilvl w:val="0"/>
                <w:numId w:val="66"/>
              </w:numPr>
              <w:shd w:val="clear"/>
              <w:jc w:val="left"/>
              <w:rPr>
                <w:rFonts w:ascii="宋体" w:hAnsi="宋体" w:cs="宋体"/>
                <w:szCs w:val="21"/>
                <w:highlight w:val="none"/>
              </w:rPr>
            </w:pPr>
            <w:r>
              <w:rPr>
                <w:rFonts w:hint="eastAsia" w:ascii="宋体" w:hAnsi="宋体" w:cs="宋体"/>
                <w:kern w:val="0"/>
                <w:szCs w:val="21"/>
                <w:highlight w:val="none"/>
              </w:rPr>
              <w:t>不提供方案</w:t>
            </w:r>
            <w:r>
              <w:rPr>
                <w:rFonts w:hint="eastAsia" w:ascii="宋体" w:hAnsi="宋体" w:cs="宋体"/>
                <w:kern w:val="0"/>
                <w:szCs w:val="21"/>
                <w:highlight w:val="none"/>
                <w:lang w:eastAsia="zh-Hans"/>
              </w:rPr>
              <w:t>不得分</w:t>
            </w:r>
            <w:r>
              <w:rPr>
                <w:rFonts w:hint="eastAsia" w:ascii="宋体" w:hAnsi="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5" w:hRule="atLeast"/>
          <w:jc w:val="center"/>
        </w:trPr>
        <w:tc>
          <w:tcPr>
            <w:tcW w:w="838" w:type="dxa"/>
            <w:vAlign w:val="center"/>
          </w:tcPr>
          <w:p>
            <w:pPr>
              <w:widowControl/>
              <w:numPr>
                <w:ilvl w:val="0"/>
                <w:numId w:val="60"/>
              </w:numPr>
              <w:shd w:val="clear"/>
              <w:tabs>
                <w:tab w:val="left" w:pos="210"/>
              </w:tabs>
              <w:wordWrap w:val="0"/>
              <w:jc w:val="center"/>
              <w:rPr>
                <w:rFonts w:ascii="宋体" w:hAnsi="宋体" w:cs="宋体"/>
                <w:szCs w:val="21"/>
                <w:highlight w:val="none"/>
              </w:rPr>
            </w:pPr>
          </w:p>
        </w:tc>
        <w:tc>
          <w:tcPr>
            <w:tcW w:w="2147" w:type="dxa"/>
            <w:vAlign w:val="center"/>
          </w:tcPr>
          <w:p>
            <w:pPr>
              <w:shd w:val="clear"/>
              <w:jc w:val="center"/>
              <w:rPr>
                <w:rFonts w:ascii="宋体" w:hAnsi="宋体" w:cs="宋体"/>
                <w:szCs w:val="21"/>
                <w:highlight w:val="none"/>
              </w:rPr>
            </w:pPr>
            <w:r>
              <w:rPr>
                <w:rFonts w:hint="eastAsia" w:ascii="宋体" w:hAnsi="宋体" w:cs="宋体"/>
                <w:szCs w:val="21"/>
                <w:highlight w:val="none"/>
              </w:rPr>
              <w:t>智能化设备和科技技术运用</w:t>
            </w:r>
            <w:r>
              <w:rPr>
                <w:rFonts w:hint="eastAsia" w:ascii="宋体" w:hAnsi="宋体" w:cs="宋体"/>
                <w:szCs w:val="21"/>
                <w:highlight w:val="none"/>
                <w:lang w:eastAsia="zh-Hans"/>
              </w:rPr>
              <w:t>方案</w:t>
            </w:r>
          </w:p>
        </w:tc>
        <w:tc>
          <w:tcPr>
            <w:tcW w:w="892" w:type="dxa"/>
            <w:vAlign w:val="center"/>
          </w:tcPr>
          <w:p>
            <w:pPr>
              <w:widowControl/>
              <w:shd w:val="clear"/>
              <w:jc w:val="center"/>
              <w:rPr>
                <w:rFonts w:ascii="宋体" w:hAnsi="宋体" w:cs="宋体"/>
                <w:szCs w:val="21"/>
                <w:highlight w:val="none"/>
              </w:rPr>
            </w:pPr>
            <w:r>
              <w:rPr>
                <w:rFonts w:hint="eastAsia" w:ascii="宋体" w:hAnsi="宋体" w:cs="宋体"/>
                <w:szCs w:val="21"/>
                <w:highlight w:val="none"/>
              </w:rPr>
              <w:t>4</w:t>
            </w:r>
          </w:p>
        </w:tc>
        <w:tc>
          <w:tcPr>
            <w:tcW w:w="5449" w:type="dxa"/>
            <w:vAlign w:val="center"/>
          </w:tcPr>
          <w:p>
            <w:pPr>
              <w:shd w:val="clear"/>
              <w:snapToGrid w:val="0"/>
              <w:rPr>
                <w:rFonts w:ascii="宋体" w:hAnsi="宋体" w:cs="宋体"/>
                <w:szCs w:val="21"/>
                <w:highlight w:val="none"/>
              </w:rPr>
            </w:pPr>
            <w:r>
              <w:rPr>
                <w:rFonts w:hint="eastAsia" w:ascii="宋体" w:hAnsi="宋体" w:cs="宋体"/>
                <w:szCs w:val="21"/>
                <w:highlight w:val="none"/>
              </w:rPr>
              <w:t>根据各投标人所能提供</w:t>
            </w:r>
            <w:r>
              <w:rPr>
                <w:rFonts w:hint="eastAsia" w:ascii="宋体" w:hAnsi="宋体" w:cs="宋体"/>
                <w:szCs w:val="21"/>
                <w:highlight w:val="none"/>
                <w:lang w:eastAsia="zh-Hans"/>
              </w:rPr>
              <w:t>的拟投入本项目</w:t>
            </w:r>
            <w:r>
              <w:rPr>
                <w:rFonts w:hint="eastAsia" w:ascii="宋体" w:hAnsi="宋体" w:cs="宋体"/>
                <w:szCs w:val="21"/>
                <w:highlight w:val="none"/>
              </w:rPr>
              <w:t>各类智能化设备和科技技术运用（</w:t>
            </w:r>
            <w:r>
              <w:rPr>
                <w:rFonts w:hint="eastAsia" w:ascii="宋体" w:hAnsi="宋体" w:cs="宋体"/>
                <w:szCs w:val="21"/>
                <w:highlight w:val="none"/>
                <w:lang w:eastAsia="zh-Hans"/>
              </w:rPr>
              <w:t>包括但不限于管理平台软件、客户关系管理系统软件等基本含义相同或其他相关软件等）</w:t>
            </w:r>
            <w:r>
              <w:rPr>
                <w:rFonts w:hint="eastAsia" w:ascii="宋体" w:hAnsi="宋体" w:cs="宋体"/>
                <w:szCs w:val="21"/>
                <w:highlight w:val="none"/>
              </w:rPr>
              <w:t>情况进行综合评审：</w:t>
            </w:r>
          </w:p>
          <w:p>
            <w:pPr>
              <w:numPr>
                <w:ilvl w:val="0"/>
                <w:numId w:val="67"/>
              </w:numPr>
              <w:shd w:val="clear"/>
              <w:snapToGrid w:val="0"/>
              <w:rPr>
                <w:rFonts w:ascii="宋体" w:hAnsi="宋体" w:cs="宋体"/>
                <w:szCs w:val="21"/>
                <w:highlight w:val="none"/>
              </w:rPr>
            </w:pPr>
            <w:r>
              <w:rPr>
                <w:rFonts w:hint="eastAsia" w:ascii="宋体" w:hAnsi="宋体" w:cs="宋体"/>
                <w:szCs w:val="21"/>
                <w:highlight w:val="none"/>
              </w:rPr>
              <w:t>智能化设备和科技技术先进、有特色，能很好的提升项目品质，便捷客户服务需求，得4分；</w:t>
            </w:r>
          </w:p>
          <w:p>
            <w:pPr>
              <w:numPr>
                <w:ilvl w:val="0"/>
                <w:numId w:val="67"/>
              </w:numPr>
              <w:shd w:val="clear"/>
              <w:snapToGrid w:val="0"/>
              <w:rPr>
                <w:rFonts w:ascii="宋体" w:hAnsi="宋体" w:cs="宋体"/>
                <w:szCs w:val="21"/>
                <w:highlight w:val="none"/>
              </w:rPr>
            </w:pPr>
            <w:r>
              <w:rPr>
                <w:rFonts w:hint="eastAsia" w:ascii="宋体" w:hAnsi="宋体" w:cs="宋体"/>
                <w:szCs w:val="21"/>
                <w:highlight w:val="none"/>
              </w:rPr>
              <w:t>智能化设备和科技技术运用良好，满足服务需求，得2分；</w:t>
            </w:r>
          </w:p>
          <w:p>
            <w:pPr>
              <w:numPr>
                <w:ilvl w:val="0"/>
                <w:numId w:val="67"/>
              </w:numPr>
              <w:shd w:val="clear"/>
              <w:snapToGrid w:val="0"/>
              <w:rPr>
                <w:rFonts w:ascii="宋体" w:hAnsi="宋体" w:cs="宋体"/>
                <w:szCs w:val="21"/>
                <w:highlight w:val="none"/>
              </w:rPr>
            </w:pPr>
            <w:r>
              <w:rPr>
                <w:rFonts w:hint="eastAsia" w:ascii="宋体" w:hAnsi="宋体" w:cs="宋体"/>
                <w:szCs w:val="21"/>
                <w:highlight w:val="none"/>
              </w:rPr>
              <w:t>智能化设备和科技技术运用较差，基本满足服务需求，得1分；</w:t>
            </w:r>
          </w:p>
          <w:p>
            <w:pPr>
              <w:numPr>
                <w:ilvl w:val="0"/>
                <w:numId w:val="67"/>
              </w:numPr>
              <w:shd w:val="clear"/>
              <w:jc w:val="left"/>
              <w:rPr>
                <w:rFonts w:ascii="宋体" w:hAnsi="宋体" w:cs="宋体"/>
                <w:szCs w:val="21"/>
                <w:highlight w:val="none"/>
              </w:rPr>
            </w:pPr>
            <w:r>
              <w:rPr>
                <w:rFonts w:hint="eastAsia" w:ascii="宋体" w:hAnsi="宋体" w:cs="宋体"/>
                <w:kern w:val="0"/>
                <w:szCs w:val="21"/>
                <w:highlight w:val="none"/>
              </w:rPr>
              <w:t>不提供方案</w:t>
            </w:r>
            <w:r>
              <w:rPr>
                <w:rFonts w:hint="eastAsia" w:ascii="宋体" w:hAnsi="宋体" w:cs="宋体"/>
                <w:kern w:val="0"/>
                <w:szCs w:val="21"/>
                <w:highlight w:val="none"/>
                <w:lang w:eastAsia="zh-Hans"/>
              </w:rPr>
              <w:t>不得分</w:t>
            </w:r>
            <w:r>
              <w:rPr>
                <w:rFonts w:hint="eastAsia" w:ascii="宋体" w:hAnsi="宋体" w:cs="宋体"/>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7" w:hRule="atLeast"/>
          <w:jc w:val="center"/>
        </w:trPr>
        <w:tc>
          <w:tcPr>
            <w:tcW w:w="838" w:type="dxa"/>
            <w:vAlign w:val="center"/>
          </w:tcPr>
          <w:p>
            <w:pPr>
              <w:widowControl/>
              <w:numPr>
                <w:ilvl w:val="0"/>
                <w:numId w:val="60"/>
              </w:numPr>
              <w:shd w:val="clear"/>
              <w:tabs>
                <w:tab w:val="left" w:pos="210"/>
              </w:tabs>
              <w:wordWrap w:val="0"/>
              <w:jc w:val="center"/>
              <w:rPr>
                <w:rFonts w:ascii="宋体" w:hAnsi="宋体" w:cs="宋体"/>
                <w:szCs w:val="21"/>
                <w:highlight w:val="none"/>
              </w:rPr>
            </w:pPr>
          </w:p>
        </w:tc>
        <w:tc>
          <w:tcPr>
            <w:tcW w:w="2147" w:type="dxa"/>
            <w:vAlign w:val="center"/>
          </w:tcPr>
          <w:p>
            <w:pPr>
              <w:shd w:val="clear"/>
              <w:jc w:val="center"/>
              <w:rPr>
                <w:rFonts w:ascii="宋体" w:hAnsi="宋体" w:cs="宋体"/>
                <w:szCs w:val="21"/>
                <w:highlight w:val="none"/>
              </w:rPr>
            </w:pPr>
            <w:r>
              <w:rPr>
                <w:rFonts w:hint="eastAsia" w:ascii="宋体" w:hAnsi="宋体" w:cs="宋体"/>
                <w:kern w:val="0"/>
                <w:szCs w:val="21"/>
                <w:highlight w:val="none"/>
              </w:rPr>
              <w:t>专项接待管理方案</w:t>
            </w:r>
          </w:p>
        </w:tc>
        <w:tc>
          <w:tcPr>
            <w:tcW w:w="892" w:type="dxa"/>
            <w:vAlign w:val="center"/>
          </w:tcPr>
          <w:p>
            <w:pPr>
              <w:widowControl/>
              <w:shd w:val="clear"/>
              <w:jc w:val="center"/>
              <w:rPr>
                <w:rFonts w:ascii="宋体" w:hAnsi="宋体" w:cs="宋体"/>
                <w:szCs w:val="21"/>
                <w:highlight w:val="none"/>
              </w:rPr>
            </w:pPr>
            <w:r>
              <w:rPr>
                <w:rFonts w:hint="eastAsia" w:ascii="宋体" w:hAnsi="宋体" w:cs="宋体"/>
                <w:szCs w:val="21"/>
                <w:highlight w:val="none"/>
              </w:rPr>
              <w:t>5</w:t>
            </w:r>
          </w:p>
        </w:tc>
        <w:tc>
          <w:tcPr>
            <w:tcW w:w="5449" w:type="dxa"/>
            <w:vAlign w:val="center"/>
          </w:tcPr>
          <w:p>
            <w:pPr>
              <w:shd w:val="clear"/>
              <w:jc w:val="left"/>
              <w:rPr>
                <w:rFonts w:ascii="宋体" w:hAnsi="宋体" w:cs="宋体"/>
                <w:highlight w:val="none"/>
              </w:rPr>
            </w:pPr>
            <w:r>
              <w:rPr>
                <w:rFonts w:hint="eastAsia" w:ascii="宋体" w:hAnsi="宋体" w:cs="宋体"/>
                <w:highlight w:val="none"/>
              </w:rPr>
              <w:t>投标人根据本项目的特点制定不同级别的专项接待管理方案进行综合评审：</w:t>
            </w:r>
          </w:p>
          <w:p>
            <w:pPr>
              <w:numPr>
                <w:ilvl w:val="0"/>
                <w:numId w:val="68"/>
              </w:numPr>
              <w:shd w:val="clear"/>
              <w:wordWrap w:val="0"/>
              <w:jc w:val="left"/>
              <w:rPr>
                <w:rFonts w:ascii="宋体" w:hAnsi="宋体" w:cs="宋体"/>
                <w:highlight w:val="none"/>
              </w:rPr>
            </w:pPr>
            <w:r>
              <w:rPr>
                <w:rFonts w:hint="eastAsia" w:ascii="宋体" w:hAnsi="宋体" w:cs="宋体"/>
                <w:highlight w:val="none"/>
              </w:rPr>
              <w:t>各级别的专项接待方案完整详细，科学合理，可行性强，专项接待经验丰富，完全满足且优于用户需求书的，得5分；</w:t>
            </w:r>
          </w:p>
          <w:p>
            <w:pPr>
              <w:numPr>
                <w:ilvl w:val="0"/>
                <w:numId w:val="68"/>
              </w:numPr>
              <w:shd w:val="clear"/>
              <w:wordWrap w:val="0"/>
              <w:jc w:val="left"/>
              <w:rPr>
                <w:rFonts w:ascii="宋体" w:hAnsi="宋体" w:cs="宋体"/>
                <w:highlight w:val="none"/>
              </w:rPr>
            </w:pPr>
            <w:r>
              <w:rPr>
                <w:rFonts w:hint="eastAsia" w:ascii="宋体" w:hAnsi="宋体" w:cs="宋体"/>
                <w:highlight w:val="none"/>
              </w:rPr>
              <w:t>专项接待管理方案较合理、较完整，专项接待经验较丰富，完全满足用户需求书的，得3分；</w:t>
            </w:r>
          </w:p>
          <w:p>
            <w:pPr>
              <w:numPr>
                <w:ilvl w:val="0"/>
                <w:numId w:val="68"/>
              </w:numPr>
              <w:shd w:val="clear"/>
              <w:wordWrap w:val="0"/>
              <w:jc w:val="left"/>
              <w:rPr>
                <w:rFonts w:ascii="宋体" w:hAnsi="宋体" w:cs="宋体"/>
                <w:highlight w:val="none"/>
              </w:rPr>
            </w:pPr>
            <w:r>
              <w:rPr>
                <w:rFonts w:hint="eastAsia" w:ascii="宋体" w:hAnsi="宋体" w:cs="宋体"/>
                <w:highlight w:val="none"/>
              </w:rPr>
              <w:t>专项接待管理方案合理性较差，专项接待经验缺乏，不能完全满足用户需求书的，得1分；</w:t>
            </w:r>
          </w:p>
          <w:p>
            <w:pPr>
              <w:numPr>
                <w:ilvl w:val="0"/>
                <w:numId w:val="68"/>
              </w:numPr>
              <w:shd w:val="clear"/>
              <w:wordWrap w:val="0"/>
              <w:jc w:val="left"/>
              <w:rPr>
                <w:rFonts w:ascii="宋体" w:hAnsi="宋体" w:cs="宋体"/>
                <w:highlight w:val="none"/>
              </w:rPr>
            </w:pPr>
            <w:r>
              <w:rPr>
                <w:rFonts w:hint="eastAsia" w:ascii="宋体" w:hAnsi="宋体" w:cs="宋体"/>
                <w:highlight w:val="none"/>
              </w:rPr>
              <w:t>不提供方案</w:t>
            </w:r>
            <w:r>
              <w:rPr>
                <w:rFonts w:hint="eastAsia" w:ascii="宋体" w:hAnsi="宋体" w:cs="宋体"/>
                <w:highlight w:val="none"/>
                <w:lang w:eastAsia="zh-Hans"/>
              </w:rPr>
              <w:t>不得分</w:t>
            </w:r>
            <w:r>
              <w:rPr>
                <w:rFonts w:hint="eastAsia" w:ascii="宋体" w:hAnsi="宋体" w:cs="宋体"/>
                <w:highlight w:val="none"/>
              </w:rPr>
              <w:t>。</w:t>
            </w:r>
          </w:p>
          <w:p>
            <w:pPr>
              <w:pStyle w:val="2"/>
              <w:shd w:val="clear"/>
              <w:rPr>
                <w:rFonts w:ascii="宋体" w:hAnsi="宋体" w:cs="宋体"/>
                <w:b/>
                <w:bCs/>
                <w:highlight w:val="none"/>
              </w:rPr>
            </w:pPr>
            <w:r>
              <w:rPr>
                <w:rFonts w:hint="eastAsia" w:ascii="宋体" w:hAnsi="宋体" w:cs="宋体"/>
                <w:kern w:val="0"/>
                <w:szCs w:val="21"/>
                <w:highlight w:val="none"/>
              </w:rPr>
              <w:t>（提供相关证明材料。）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838" w:type="dxa"/>
            <w:vAlign w:val="center"/>
          </w:tcPr>
          <w:p>
            <w:pPr>
              <w:widowControl/>
              <w:numPr>
                <w:ilvl w:val="0"/>
                <w:numId w:val="60"/>
              </w:numPr>
              <w:shd w:val="clear"/>
              <w:tabs>
                <w:tab w:val="left" w:pos="210"/>
              </w:tabs>
              <w:wordWrap w:val="0"/>
              <w:jc w:val="center"/>
              <w:rPr>
                <w:rFonts w:ascii="宋体" w:hAnsi="宋体" w:cs="宋体"/>
                <w:szCs w:val="21"/>
                <w:highlight w:val="none"/>
              </w:rPr>
            </w:pPr>
          </w:p>
        </w:tc>
        <w:tc>
          <w:tcPr>
            <w:tcW w:w="2147" w:type="dxa"/>
            <w:vAlign w:val="center"/>
          </w:tcPr>
          <w:p>
            <w:pPr>
              <w:shd w:val="clear"/>
              <w:jc w:val="center"/>
              <w:rPr>
                <w:rFonts w:ascii="宋体" w:hAnsi="宋体" w:cs="宋体"/>
                <w:szCs w:val="21"/>
                <w:highlight w:val="none"/>
              </w:rPr>
            </w:pPr>
            <w:r>
              <w:rPr>
                <w:rFonts w:hint="eastAsia" w:ascii="宋体" w:hAnsi="宋体" w:cs="宋体"/>
                <w:kern w:val="0"/>
                <w:szCs w:val="21"/>
                <w:highlight w:val="none"/>
              </w:rPr>
              <w:t>应急管理方案</w:t>
            </w:r>
          </w:p>
        </w:tc>
        <w:tc>
          <w:tcPr>
            <w:tcW w:w="892" w:type="dxa"/>
            <w:vAlign w:val="center"/>
          </w:tcPr>
          <w:p>
            <w:pPr>
              <w:widowControl/>
              <w:shd w:val="clear"/>
              <w:jc w:val="center"/>
              <w:rPr>
                <w:rFonts w:ascii="宋体" w:hAnsi="宋体" w:cs="宋体"/>
                <w:szCs w:val="21"/>
                <w:highlight w:val="none"/>
              </w:rPr>
            </w:pPr>
            <w:r>
              <w:rPr>
                <w:rFonts w:hint="eastAsia" w:ascii="宋体" w:hAnsi="宋体" w:cs="宋体"/>
                <w:szCs w:val="21"/>
                <w:highlight w:val="none"/>
              </w:rPr>
              <w:t>5</w:t>
            </w:r>
          </w:p>
        </w:tc>
        <w:tc>
          <w:tcPr>
            <w:tcW w:w="5449" w:type="dxa"/>
            <w:vAlign w:val="center"/>
          </w:tcPr>
          <w:p>
            <w:pPr>
              <w:shd w:val="clear"/>
              <w:jc w:val="left"/>
              <w:rPr>
                <w:rFonts w:ascii="宋体" w:hAnsi="宋体" w:cs="宋体"/>
                <w:kern w:val="0"/>
                <w:szCs w:val="21"/>
                <w:highlight w:val="none"/>
              </w:rPr>
            </w:pPr>
            <w:r>
              <w:rPr>
                <w:rFonts w:hint="eastAsia" w:ascii="宋体" w:hAnsi="宋体" w:cs="宋体"/>
                <w:kern w:val="0"/>
                <w:szCs w:val="21"/>
                <w:highlight w:val="none"/>
              </w:rPr>
              <w:t>针对本项目特点和实际需求，根据各投标人提供应对应急突发事件的预防、应变、处置方案（包括但不限于防台防汛应急、防暴防恐、电梯故障及困人处理等）进行综合评审：</w:t>
            </w:r>
          </w:p>
          <w:p>
            <w:pPr>
              <w:numPr>
                <w:ilvl w:val="0"/>
                <w:numId w:val="69"/>
              </w:numPr>
              <w:shd w:val="clear"/>
              <w:jc w:val="left"/>
              <w:rPr>
                <w:rFonts w:ascii="宋体" w:hAnsi="宋体" w:cs="宋体"/>
                <w:kern w:val="0"/>
                <w:szCs w:val="21"/>
                <w:highlight w:val="none"/>
              </w:rPr>
            </w:pPr>
            <w:r>
              <w:rPr>
                <w:rFonts w:hint="eastAsia" w:ascii="宋体" w:hAnsi="宋体" w:cs="宋体"/>
                <w:kern w:val="0"/>
                <w:szCs w:val="21"/>
                <w:highlight w:val="none"/>
              </w:rPr>
              <w:t>应急管理方案科学合理、措施具体，方案有针对性、可行性强，能完全满足且优于用户需求书的，得5分；</w:t>
            </w:r>
          </w:p>
          <w:p>
            <w:pPr>
              <w:numPr>
                <w:ilvl w:val="0"/>
                <w:numId w:val="69"/>
              </w:numPr>
              <w:shd w:val="clear"/>
              <w:jc w:val="left"/>
              <w:rPr>
                <w:rFonts w:ascii="宋体" w:hAnsi="宋体" w:cs="宋体"/>
                <w:kern w:val="0"/>
                <w:szCs w:val="21"/>
                <w:highlight w:val="none"/>
              </w:rPr>
            </w:pPr>
            <w:r>
              <w:rPr>
                <w:rFonts w:hint="eastAsia" w:ascii="宋体" w:hAnsi="宋体" w:cs="宋体"/>
                <w:kern w:val="0"/>
                <w:szCs w:val="21"/>
                <w:highlight w:val="none"/>
              </w:rPr>
              <w:t>应急管理方案较合理、较完整，方案能完全满足用户需求书的，得3分；</w:t>
            </w:r>
          </w:p>
          <w:p>
            <w:pPr>
              <w:numPr>
                <w:ilvl w:val="0"/>
                <w:numId w:val="69"/>
              </w:numPr>
              <w:shd w:val="clear"/>
              <w:jc w:val="left"/>
              <w:rPr>
                <w:rFonts w:ascii="宋体" w:hAnsi="宋体" w:cs="宋体"/>
                <w:kern w:val="0"/>
                <w:szCs w:val="21"/>
                <w:highlight w:val="none"/>
              </w:rPr>
            </w:pPr>
            <w:r>
              <w:rPr>
                <w:rFonts w:hint="eastAsia" w:ascii="宋体" w:hAnsi="宋体" w:cs="宋体"/>
                <w:kern w:val="0"/>
                <w:szCs w:val="21"/>
                <w:highlight w:val="none"/>
              </w:rPr>
              <w:t>应急管理方案简单，没有针对性，不能满足用户需求书的，得1分；</w:t>
            </w:r>
          </w:p>
          <w:p>
            <w:pPr>
              <w:numPr>
                <w:ilvl w:val="0"/>
                <w:numId w:val="69"/>
              </w:numPr>
              <w:shd w:val="clear"/>
              <w:jc w:val="left"/>
              <w:rPr>
                <w:rFonts w:ascii="宋体" w:hAnsi="宋体" w:cs="宋体"/>
                <w:szCs w:val="21"/>
                <w:highlight w:val="none"/>
              </w:rPr>
            </w:pPr>
            <w:r>
              <w:rPr>
                <w:rFonts w:hint="eastAsia" w:ascii="宋体" w:hAnsi="宋体" w:cs="宋体"/>
                <w:kern w:val="0"/>
                <w:szCs w:val="21"/>
                <w:highlight w:val="none"/>
              </w:rPr>
              <w:t>不提供方案</w:t>
            </w:r>
            <w:r>
              <w:rPr>
                <w:rFonts w:hint="eastAsia" w:ascii="宋体" w:hAnsi="宋体" w:cs="宋体"/>
                <w:kern w:val="0"/>
                <w:szCs w:val="21"/>
                <w:highlight w:val="none"/>
                <w:lang w:eastAsia="zh-Hans"/>
              </w:rPr>
              <w:t>不得分</w:t>
            </w:r>
            <w:r>
              <w:rPr>
                <w:rFonts w:hint="eastAsia" w:ascii="宋体" w:hAnsi="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dxa"/>
            <w:vAlign w:val="center"/>
          </w:tcPr>
          <w:p>
            <w:pPr>
              <w:widowControl/>
              <w:numPr>
                <w:ilvl w:val="0"/>
                <w:numId w:val="60"/>
              </w:numPr>
              <w:shd w:val="clear"/>
              <w:tabs>
                <w:tab w:val="left" w:pos="210"/>
              </w:tabs>
              <w:wordWrap w:val="0"/>
              <w:jc w:val="center"/>
              <w:rPr>
                <w:rFonts w:ascii="宋体" w:hAnsi="宋体" w:cs="宋体"/>
                <w:szCs w:val="21"/>
                <w:highlight w:val="none"/>
              </w:rPr>
            </w:pPr>
          </w:p>
        </w:tc>
        <w:tc>
          <w:tcPr>
            <w:tcW w:w="2147" w:type="dxa"/>
            <w:vAlign w:val="center"/>
          </w:tcPr>
          <w:p>
            <w:pPr>
              <w:shd w:val="clear"/>
              <w:wordWrap w:val="0"/>
              <w:jc w:val="center"/>
              <w:rPr>
                <w:rFonts w:ascii="宋体" w:hAnsi="宋体" w:cs="宋体"/>
                <w:kern w:val="0"/>
                <w:szCs w:val="21"/>
                <w:highlight w:val="none"/>
              </w:rPr>
            </w:pPr>
            <w:r>
              <w:rPr>
                <w:rFonts w:hint="eastAsia" w:ascii="宋体" w:hAnsi="宋体" w:cs="宋体"/>
                <w:kern w:val="0"/>
                <w:szCs w:val="21"/>
                <w:highlight w:val="none"/>
              </w:rPr>
              <w:t>项目经理</w:t>
            </w:r>
          </w:p>
        </w:tc>
        <w:tc>
          <w:tcPr>
            <w:tcW w:w="892" w:type="dxa"/>
            <w:vAlign w:val="center"/>
          </w:tcPr>
          <w:p>
            <w:pPr>
              <w:widowControl/>
              <w:shd w:val="clear"/>
              <w:wordWrap w:val="0"/>
              <w:jc w:val="center"/>
              <w:rPr>
                <w:rFonts w:ascii="宋体" w:hAnsi="宋体" w:cs="宋体"/>
                <w:szCs w:val="21"/>
                <w:highlight w:val="none"/>
              </w:rPr>
            </w:pPr>
            <w:r>
              <w:rPr>
                <w:rFonts w:hint="eastAsia" w:ascii="宋体" w:hAnsi="宋体" w:cs="宋体"/>
                <w:szCs w:val="21"/>
                <w:highlight w:val="none"/>
              </w:rPr>
              <w:t>3</w:t>
            </w:r>
          </w:p>
        </w:tc>
        <w:tc>
          <w:tcPr>
            <w:tcW w:w="5449" w:type="dxa"/>
            <w:vAlign w:val="center"/>
          </w:tcPr>
          <w:p>
            <w:pPr>
              <w:pStyle w:val="2"/>
              <w:shd w:val="clear"/>
              <w:wordWrap w:val="0"/>
              <w:rPr>
                <w:rFonts w:ascii="宋体" w:hAnsi="宋体" w:cs="宋体"/>
                <w:kern w:val="0"/>
                <w:szCs w:val="21"/>
                <w:highlight w:val="none"/>
              </w:rPr>
            </w:pPr>
            <w:r>
              <w:rPr>
                <w:rFonts w:hint="eastAsia" w:ascii="宋体" w:hAnsi="宋体" w:cs="宋体"/>
                <w:kern w:val="0"/>
                <w:szCs w:val="21"/>
                <w:highlight w:val="none"/>
              </w:rPr>
              <w:t>投标人拟派项目经理（限1人）情况：</w:t>
            </w:r>
          </w:p>
          <w:p>
            <w:pPr>
              <w:numPr>
                <w:ilvl w:val="0"/>
                <w:numId w:val="70"/>
              </w:numPr>
              <w:shd w:val="clear"/>
              <w:wordWrap w:val="0"/>
              <w:jc w:val="left"/>
              <w:rPr>
                <w:rFonts w:ascii="宋体" w:hAnsi="宋体" w:cs="宋体"/>
                <w:kern w:val="0"/>
                <w:szCs w:val="21"/>
                <w:highlight w:val="none"/>
              </w:rPr>
            </w:pPr>
            <w:r>
              <w:rPr>
                <w:rFonts w:hint="eastAsia" w:ascii="宋体" w:hAnsi="宋体" w:cs="宋体"/>
                <w:kern w:val="0"/>
                <w:szCs w:val="21"/>
                <w:highlight w:val="none"/>
              </w:rPr>
              <w:t>具有本科（或以上）学历，得1分；</w:t>
            </w:r>
          </w:p>
          <w:p>
            <w:pPr>
              <w:numPr>
                <w:ilvl w:val="0"/>
                <w:numId w:val="70"/>
              </w:numPr>
              <w:shd w:val="clear"/>
              <w:wordWrap w:val="0"/>
              <w:jc w:val="left"/>
              <w:rPr>
                <w:rFonts w:ascii="宋体" w:hAnsi="宋体" w:cs="宋体"/>
                <w:kern w:val="0"/>
                <w:szCs w:val="21"/>
                <w:highlight w:val="none"/>
              </w:rPr>
            </w:pPr>
            <w:r>
              <w:rPr>
                <w:rFonts w:hint="eastAsia" w:ascii="宋体" w:hAnsi="宋体" w:cs="宋体"/>
                <w:kern w:val="0"/>
                <w:szCs w:val="21"/>
                <w:highlight w:val="none"/>
              </w:rPr>
              <w:t>具有物业管理项目经理证书，得1分；</w:t>
            </w:r>
          </w:p>
          <w:p>
            <w:pPr>
              <w:numPr>
                <w:ilvl w:val="0"/>
                <w:numId w:val="70"/>
              </w:numPr>
              <w:shd w:val="clear"/>
              <w:wordWrap w:val="0"/>
              <w:jc w:val="left"/>
              <w:rPr>
                <w:rFonts w:ascii="宋体" w:hAnsi="宋体" w:cs="宋体"/>
                <w:kern w:val="0"/>
                <w:szCs w:val="21"/>
                <w:highlight w:val="none"/>
              </w:rPr>
            </w:pPr>
            <w:r>
              <w:rPr>
                <w:rFonts w:hint="eastAsia" w:ascii="宋体" w:hAnsi="宋体" w:cs="宋体"/>
                <w:kern w:val="0"/>
                <w:szCs w:val="21"/>
                <w:highlight w:val="none"/>
              </w:rPr>
              <w:t>具有</w:t>
            </w:r>
            <w:r>
              <w:rPr>
                <w:rFonts w:hint="eastAsia" w:ascii="宋体" w:hAnsi="宋体" w:cs="宋体"/>
                <w:highlight w:val="none"/>
              </w:rPr>
              <w:t>智能楼宇管理师四级（或以上）证书</w:t>
            </w:r>
            <w:r>
              <w:rPr>
                <w:rFonts w:hint="eastAsia" w:ascii="宋体" w:hAnsi="宋体" w:cs="宋体"/>
                <w:kern w:val="0"/>
                <w:szCs w:val="21"/>
                <w:highlight w:val="none"/>
              </w:rPr>
              <w:t>，得1分。</w:t>
            </w:r>
          </w:p>
          <w:p>
            <w:pPr>
              <w:shd w:val="clear"/>
              <w:wordWrap w:val="0"/>
              <w:jc w:val="left"/>
              <w:rPr>
                <w:rFonts w:ascii="宋体" w:hAnsi="宋体" w:cs="宋体"/>
                <w:kern w:val="0"/>
                <w:szCs w:val="21"/>
                <w:highlight w:val="none"/>
              </w:rPr>
            </w:pPr>
            <w:r>
              <w:rPr>
                <w:rFonts w:hint="eastAsia" w:ascii="宋体" w:hAnsi="宋体" w:cs="宋体"/>
                <w:kern w:val="0"/>
                <w:szCs w:val="21"/>
                <w:highlight w:val="none"/>
              </w:rPr>
              <w:t>备注：</w:t>
            </w:r>
          </w:p>
          <w:p>
            <w:pPr>
              <w:numPr>
                <w:ilvl w:val="0"/>
                <w:numId w:val="71"/>
              </w:numPr>
              <w:shd w:val="clear"/>
              <w:tabs>
                <w:tab w:val="left" w:pos="0"/>
              </w:tabs>
              <w:wordWrap w:val="0"/>
              <w:jc w:val="left"/>
              <w:rPr>
                <w:rFonts w:ascii="宋体" w:hAnsi="宋体" w:cs="宋体"/>
                <w:kern w:val="0"/>
                <w:szCs w:val="21"/>
                <w:highlight w:val="none"/>
              </w:rPr>
            </w:pPr>
            <w:r>
              <w:rPr>
                <w:rFonts w:hint="eastAsia" w:ascii="宋体" w:hAnsi="宋体" w:cs="宋体"/>
                <w:kern w:val="0"/>
                <w:szCs w:val="21"/>
                <w:highlight w:val="none"/>
              </w:rPr>
              <w:t>本项最高得3分。序号1须提供相应学历证书复印件及证书在中国高等教育学生信息网(学信网) 截图作为证明材料；序号2、3须提供证书复印件作为证明材料。</w:t>
            </w:r>
            <w:r>
              <w:rPr>
                <w:rFonts w:hint="eastAsia" w:ascii="宋体" w:hAnsi="宋体" w:cs="宋体"/>
                <w:b/>
                <w:bCs/>
                <w:kern w:val="0"/>
                <w:szCs w:val="21"/>
                <w:highlight w:val="none"/>
              </w:rPr>
              <w:t>证书原件核查</w:t>
            </w:r>
            <w:r>
              <w:rPr>
                <w:rFonts w:hint="eastAsia" w:ascii="宋体" w:hAnsi="宋体" w:cs="宋体"/>
                <w:kern w:val="0"/>
                <w:szCs w:val="21"/>
                <w:highlight w:val="none"/>
              </w:rPr>
              <w:t>。</w:t>
            </w:r>
          </w:p>
          <w:p>
            <w:pPr>
              <w:pStyle w:val="2"/>
              <w:numPr>
                <w:ilvl w:val="0"/>
                <w:numId w:val="71"/>
              </w:numPr>
              <w:shd w:val="clear"/>
              <w:tabs>
                <w:tab w:val="left" w:pos="0"/>
              </w:tabs>
              <w:wordWrap w:val="0"/>
              <w:rPr>
                <w:rFonts w:ascii="宋体" w:hAnsi="宋体" w:cs="宋体"/>
                <w:kern w:val="0"/>
                <w:szCs w:val="21"/>
                <w:highlight w:val="none"/>
              </w:rPr>
            </w:pPr>
            <w:r>
              <w:rPr>
                <w:rFonts w:hint="eastAsia" w:ascii="宋体" w:hAnsi="宋体" w:cs="宋体"/>
                <w:kern w:val="0"/>
                <w:szCs w:val="21"/>
                <w:highlight w:val="none"/>
              </w:rPr>
              <w:t>须投标人近半年（扣除发布采购公告当月往前顺推6个月）为上述人员缴纳社保资金的有效的社保证明材料或单位代缴个人所得税证明的复印件作为证明材料。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1" w:hRule="atLeast"/>
          <w:jc w:val="center"/>
        </w:trPr>
        <w:tc>
          <w:tcPr>
            <w:tcW w:w="838" w:type="dxa"/>
            <w:vAlign w:val="center"/>
          </w:tcPr>
          <w:p>
            <w:pPr>
              <w:widowControl/>
              <w:numPr>
                <w:ilvl w:val="0"/>
                <w:numId w:val="60"/>
              </w:numPr>
              <w:shd w:val="clear"/>
              <w:tabs>
                <w:tab w:val="left" w:pos="210"/>
              </w:tabs>
              <w:wordWrap w:val="0"/>
              <w:jc w:val="center"/>
              <w:rPr>
                <w:rFonts w:ascii="宋体" w:hAnsi="宋体" w:cs="宋体"/>
                <w:szCs w:val="21"/>
                <w:highlight w:val="none"/>
              </w:rPr>
            </w:pPr>
          </w:p>
        </w:tc>
        <w:tc>
          <w:tcPr>
            <w:tcW w:w="2147" w:type="dxa"/>
            <w:vAlign w:val="center"/>
          </w:tcPr>
          <w:p>
            <w:pPr>
              <w:shd w:val="clear"/>
              <w:wordWrap w:val="0"/>
              <w:jc w:val="center"/>
              <w:rPr>
                <w:rFonts w:ascii="宋体" w:hAnsi="宋体" w:cs="宋体"/>
                <w:kern w:val="0"/>
                <w:szCs w:val="21"/>
                <w:highlight w:val="none"/>
              </w:rPr>
            </w:pPr>
            <w:r>
              <w:rPr>
                <w:rFonts w:hint="eastAsia" w:ascii="宋体" w:hAnsi="宋体" w:cs="宋体"/>
                <w:szCs w:val="21"/>
                <w:highlight w:val="none"/>
              </w:rPr>
              <w:t>工程</w:t>
            </w:r>
            <w:r>
              <w:rPr>
                <w:rFonts w:hint="eastAsia" w:ascii="宋体" w:hAnsi="宋体" w:cs="宋体"/>
                <w:szCs w:val="21"/>
                <w:highlight w:val="none"/>
                <w:lang w:eastAsia="zh-Hans"/>
              </w:rPr>
              <w:t>负责人</w:t>
            </w:r>
          </w:p>
        </w:tc>
        <w:tc>
          <w:tcPr>
            <w:tcW w:w="892" w:type="dxa"/>
            <w:vAlign w:val="center"/>
          </w:tcPr>
          <w:p>
            <w:pPr>
              <w:widowControl/>
              <w:shd w:val="clear"/>
              <w:wordWrap w:val="0"/>
              <w:jc w:val="center"/>
              <w:rPr>
                <w:rFonts w:ascii="宋体" w:hAnsi="宋体" w:cs="宋体"/>
                <w:szCs w:val="21"/>
                <w:highlight w:val="none"/>
              </w:rPr>
            </w:pPr>
            <w:r>
              <w:rPr>
                <w:rFonts w:hint="eastAsia" w:ascii="宋体" w:hAnsi="宋体" w:cs="宋体"/>
                <w:szCs w:val="21"/>
                <w:highlight w:val="none"/>
              </w:rPr>
              <w:t>4</w:t>
            </w:r>
          </w:p>
        </w:tc>
        <w:tc>
          <w:tcPr>
            <w:tcW w:w="5449" w:type="dxa"/>
            <w:vAlign w:val="center"/>
          </w:tcPr>
          <w:p>
            <w:pPr>
              <w:pStyle w:val="12"/>
              <w:shd w:val="clear"/>
              <w:wordWrap w:val="0"/>
              <w:rPr>
                <w:rFonts w:hint="default" w:cs="宋体"/>
                <w:color w:val="auto"/>
                <w:sz w:val="21"/>
                <w:szCs w:val="21"/>
                <w:highlight w:val="none"/>
              </w:rPr>
            </w:pPr>
            <w:r>
              <w:rPr>
                <w:rFonts w:cs="宋体"/>
                <w:color w:val="auto"/>
                <w:sz w:val="21"/>
                <w:szCs w:val="21"/>
                <w:highlight w:val="none"/>
              </w:rPr>
              <w:t>投标人拟派工程</w:t>
            </w:r>
            <w:r>
              <w:rPr>
                <w:rFonts w:cs="宋体"/>
                <w:color w:val="auto"/>
                <w:sz w:val="21"/>
                <w:szCs w:val="21"/>
                <w:highlight w:val="none"/>
                <w:lang w:eastAsia="zh-Hans"/>
              </w:rPr>
              <w:t>负责人（限1人）</w:t>
            </w:r>
            <w:r>
              <w:rPr>
                <w:rFonts w:cs="宋体"/>
                <w:color w:val="auto"/>
                <w:sz w:val="21"/>
                <w:szCs w:val="21"/>
                <w:highlight w:val="none"/>
              </w:rPr>
              <w:t>情况：</w:t>
            </w:r>
          </w:p>
          <w:p>
            <w:pPr>
              <w:pStyle w:val="12"/>
              <w:numPr>
                <w:ilvl w:val="0"/>
                <w:numId w:val="72"/>
              </w:numPr>
              <w:shd w:val="clear"/>
              <w:wordWrap w:val="0"/>
              <w:rPr>
                <w:rFonts w:hint="default" w:cs="宋体"/>
                <w:color w:val="auto"/>
                <w:sz w:val="21"/>
                <w:szCs w:val="21"/>
                <w:highlight w:val="none"/>
              </w:rPr>
            </w:pPr>
            <w:r>
              <w:rPr>
                <w:rFonts w:cs="宋体"/>
                <w:color w:val="auto"/>
                <w:sz w:val="21"/>
                <w:szCs w:val="21"/>
                <w:highlight w:val="none"/>
              </w:rPr>
              <w:t>具有大专（或以上）学历，得1分；</w:t>
            </w:r>
          </w:p>
          <w:p>
            <w:pPr>
              <w:pStyle w:val="12"/>
              <w:numPr>
                <w:ilvl w:val="0"/>
                <w:numId w:val="72"/>
              </w:numPr>
              <w:shd w:val="clear"/>
              <w:wordWrap w:val="0"/>
              <w:rPr>
                <w:rFonts w:hint="default" w:cs="宋体"/>
                <w:color w:val="auto"/>
                <w:sz w:val="21"/>
                <w:szCs w:val="21"/>
                <w:highlight w:val="none"/>
              </w:rPr>
            </w:pPr>
            <w:r>
              <w:rPr>
                <w:rFonts w:cs="宋体"/>
                <w:color w:val="auto"/>
                <w:sz w:val="21"/>
                <w:szCs w:val="21"/>
                <w:highlight w:val="none"/>
              </w:rPr>
              <w:t>具有维修电工高级或以上资格证书（国家职业资格三级或以上），得1分；</w:t>
            </w:r>
          </w:p>
          <w:p>
            <w:pPr>
              <w:pStyle w:val="12"/>
              <w:numPr>
                <w:ilvl w:val="0"/>
                <w:numId w:val="72"/>
              </w:numPr>
              <w:shd w:val="clear"/>
              <w:wordWrap w:val="0"/>
              <w:rPr>
                <w:rFonts w:hint="default" w:cs="宋体"/>
                <w:color w:val="auto"/>
                <w:sz w:val="21"/>
                <w:szCs w:val="21"/>
                <w:highlight w:val="none"/>
              </w:rPr>
            </w:pPr>
            <w:r>
              <w:rPr>
                <w:rFonts w:cs="宋体"/>
                <w:color w:val="auto"/>
                <w:sz w:val="21"/>
                <w:szCs w:val="21"/>
                <w:highlight w:val="none"/>
              </w:rPr>
              <w:t>具有制冷设备维修工高级或以上资格证书（国家职业资格三级或以上），得1分；</w:t>
            </w:r>
          </w:p>
          <w:p>
            <w:pPr>
              <w:pStyle w:val="12"/>
              <w:numPr>
                <w:ilvl w:val="0"/>
                <w:numId w:val="72"/>
              </w:numPr>
              <w:shd w:val="clear"/>
              <w:wordWrap w:val="0"/>
              <w:rPr>
                <w:rFonts w:hint="default" w:cs="宋体"/>
                <w:color w:val="auto"/>
                <w:sz w:val="21"/>
                <w:szCs w:val="21"/>
                <w:highlight w:val="none"/>
              </w:rPr>
            </w:pPr>
            <w:r>
              <w:rPr>
                <w:rFonts w:cs="宋体"/>
                <w:color w:val="auto"/>
                <w:sz w:val="21"/>
                <w:szCs w:val="21"/>
                <w:highlight w:val="none"/>
              </w:rPr>
              <w:t>具有国家公安部消防局颁发的建（构）筑物消防员或初级或以上消防设施操作员（国家职业资格五级或以上），得1分。</w:t>
            </w:r>
          </w:p>
          <w:p>
            <w:pPr>
              <w:shd w:val="clear"/>
              <w:wordWrap w:val="0"/>
              <w:jc w:val="left"/>
              <w:rPr>
                <w:rFonts w:ascii="宋体" w:hAnsi="宋体" w:cs="宋体"/>
                <w:szCs w:val="21"/>
                <w:highlight w:val="none"/>
              </w:rPr>
            </w:pPr>
            <w:r>
              <w:rPr>
                <w:rFonts w:hint="eastAsia" w:ascii="宋体" w:hAnsi="宋体" w:cs="宋体"/>
                <w:szCs w:val="21"/>
                <w:highlight w:val="none"/>
              </w:rPr>
              <w:t>备注：</w:t>
            </w:r>
          </w:p>
          <w:p>
            <w:pPr>
              <w:numPr>
                <w:ilvl w:val="0"/>
                <w:numId w:val="73"/>
              </w:numPr>
              <w:shd w:val="clear"/>
              <w:tabs>
                <w:tab w:val="left" w:pos="0"/>
              </w:tabs>
              <w:wordWrap w:val="0"/>
              <w:jc w:val="left"/>
              <w:rPr>
                <w:rFonts w:ascii="宋体" w:hAnsi="宋体" w:cs="宋体"/>
                <w:kern w:val="0"/>
                <w:szCs w:val="21"/>
                <w:highlight w:val="none"/>
              </w:rPr>
            </w:pPr>
            <w:r>
              <w:rPr>
                <w:rFonts w:hint="eastAsia" w:ascii="宋体" w:hAnsi="宋体" w:cs="宋体"/>
                <w:kern w:val="0"/>
                <w:szCs w:val="21"/>
                <w:highlight w:val="none"/>
              </w:rPr>
              <w:t>本项最高得4分。序号1须提供相应学历证书复印件及证书在中国高等教育学生信息网(学信网) 截图作为证明材料；序号2-4须提供证书复印件作为证明材料。</w:t>
            </w:r>
            <w:r>
              <w:rPr>
                <w:rFonts w:hint="eastAsia" w:ascii="宋体" w:hAnsi="宋体" w:cs="宋体"/>
                <w:b/>
                <w:bCs/>
                <w:kern w:val="0"/>
                <w:szCs w:val="21"/>
                <w:highlight w:val="none"/>
              </w:rPr>
              <w:t>证书原件核查。</w:t>
            </w:r>
          </w:p>
          <w:p>
            <w:pPr>
              <w:numPr>
                <w:ilvl w:val="0"/>
                <w:numId w:val="73"/>
              </w:numPr>
              <w:shd w:val="clear"/>
              <w:tabs>
                <w:tab w:val="left" w:pos="0"/>
              </w:tabs>
              <w:wordWrap w:val="0"/>
              <w:jc w:val="left"/>
              <w:rPr>
                <w:rFonts w:ascii="宋体" w:hAnsi="宋体" w:cs="宋体"/>
                <w:kern w:val="0"/>
                <w:szCs w:val="21"/>
                <w:highlight w:val="none"/>
              </w:rPr>
            </w:pPr>
            <w:r>
              <w:rPr>
                <w:rFonts w:hint="eastAsia" w:ascii="宋体" w:hAnsi="宋体" w:cs="宋体"/>
                <w:szCs w:val="21"/>
                <w:highlight w:val="none"/>
              </w:rPr>
              <w:t>须投标人近半年（扣除发布采购公告当月往前顺推6个月）为上述人员缴纳社保资金的有效的社保证明材料或单位代缴个人所得税证明的复印件</w:t>
            </w:r>
            <w:r>
              <w:rPr>
                <w:rFonts w:hint="eastAsia" w:ascii="宋体" w:hAnsi="宋体" w:cs="宋体"/>
                <w:kern w:val="0"/>
                <w:szCs w:val="21"/>
                <w:highlight w:val="none"/>
              </w:rPr>
              <w:t>作为证明材料</w:t>
            </w:r>
            <w:r>
              <w:rPr>
                <w:rFonts w:hint="eastAsia" w:ascii="宋体" w:hAnsi="宋体" w:cs="宋体"/>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dxa"/>
            <w:vAlign w:val="center"/>
          </w:tcPr>
          <w:p>
            <w:pPr>
              <w:widowControl/>
              <w:numPr>
                <w:ilvl w:val="0"/>
                <w:numId w:val="60"/>
              </w:numPr>
              <w:shd w:val="clear"/>
              <w:tabs>
                <w:tab w:val="left" w:pos="210"/>
              </w:tabs>
              <w:wordWrap w:val="0"/>
              <w:jc w:val="center"/>
              <w:rPr>
                <w:rFonts w:ascii="宋体" w:hAnsi="宋体" w:cs="宋体"/>
                <w:szCs w:val="21"/>
                <w:highlight w:val="none"/>
              </w:rPr>
            </w:pPr>
          </w:p>
        </w:tc>
        <w:tc>
          <w:tcPr>
            <w:tcW w:w="2147" w:type="dxa"/>
            <w:vAlign w:val="center"/>
          </w:tcPr>
          <w:p>
            <w:pPr>
              <w:shd w:val="clear"/>
              <w:wordWrap w:val="0"/>
              <w:jc w:val="center"/>
              <w:rPr>
                <w:rFonts w:ascii="宋体" w:hAnsi="宋体" w:cs="宋体"/>
                <w:kern w:val="0"/>
                <w:szCs w:val="21"/>
                <w:highlight w:val="none"/>
              </w:rPr>
            </w:pPr>
            <w:r>
              <w:rPr>
                <w:rFonts w:hint="eastAsia" w:ascii="宋体" w:hAnsi="宋体" w:cs="宋体"/>
                <w:kern w:val="0"/>
                <w:szCs w:val="21"/>
                <w:highlight w:val="none"/>
              </w:rPr>
              <w:t>安保负责人</w:t>
            </w:r>
          </w:p>
        </w:tc>
        <w:tc>
          <w:tcPr>
            <w:tcW w:w="892" w:type="dxa"/>
            <w:vAlign w:val="center"/>
          </w:tcPr>
          <w:p>
            <w:pPr>
              <w:widowControl/>
              <w:shd w:val="clear"/>
              <w:wordWrap w:val="0"/>
              <w:jc w:val="center"/>
              <w:rPr>
                <w:rFonts w:ascii="宋体" w:hAnsi="宋体" w:cs="宋体"/>
                <w:szCs w:val="21"/>
                <w:highlight w:val="none"/>
              </w:rPr>
            </w:pPr>
            <w:r>
              <w:rPr>
                <w:rFonts w:hint="eastAsia" w:ascii="宋体" w:hAnsi="宋体" w:cs="宋体"/>
                <w:szCs w:val="21"/>
                <w:highlight w:val="none"/>
              </w:rPr>
              <w:t>2</w:t>
            </w:r>
          </w:p>
        </w:tc>
        <w:tc>
          <w:tcPr>
            <w:tcW w:w="5449" w:type="dxa"/>
            <w:vAlign w:val="center"/>
          </w:tcPr>
          <w:p>
            <w:pPr>
              <w:shd w:val="clear"/>
              <w:wordWrap w:val="0"/>
              <w:jc w:val="left"/>
              <w:rPr>
                <w:rFonts w:ascii="宋体" w:hAnsi="宋体" w:cs="宋体"/>
                <w:kern w:val="0"/>
                <w:szCs w:val="21"/>
                <w:highlight w:val="none"/>
              </w:rPr>
            </w:pPr>
            <w:r>
              <w:rPr>
                <w:rFonts w:hint="eastAsia" w:ascii="宋体" w:hAnsi="宋体" w:cs="宋体"/>
                <w:szCs w:val="21"/>
                <w:highlight w:val="none"/>
              </w:rPr>
              <w:t>投标人拟派</w:t>
            </w:r>
            <w:r>
              <w:rPr>
                <w:rFonts w:hint="eastAsia" w:ascii="宋体" w:hAnsi="宋体" w:cs="宋体"/>
                <w:kern w:val="0"/>
                <w:szCs w:val="21"/>
                <w:highlight w:val="none"/>
              </w:rPr>
              <w:t>安保负责人（限1人）情况：</w:t>
            </w:r>
          </w:p>
          <w:p>
            <w:pPr>
              <w:numPr>
                <w:ilvl w:val="0"/>
                <w:numId w:val="74"/>
              </w:numPr>
              <w:shd w:val="clear"/>
              <w:wordWrap w:val="0"/>
              <w:jc w:val="left"/>
              <w:rPr>
                <w:rFonts w:ascii="宋体" w:hAnsi="宋体" w:cs="宋体"/>
                <w:kern w:val="0"/>
                <w:szCs w:val="21"/>
                <w:highlight w:val="none"/>
              </w:rPr>
            </w:pPr>
            <w:r>
              <w:rPr>
                <w:rFonts w:hint="eastAsia" w:ascii="宋体" w:hAnsi="宋体" w:cs="宋体"/>
                <w:kern w:val="0"/>
                <w:szCs w:val="21"/>
                <w:highlight w:val="none"/>
              </w:rPr>
              <w:t>具有大专（或以上）学历，得1分；</w:t>
            </w:r>
          </w:p>
          <w:p>
            <w:pPr>
              <w:numPr>
                <w:ilvl w:val="0"/>
                <w:numId w:val="74"/>
              </w:numPr>
              <w:shd w:val="clear"/>
              <w:wordWrap w:val="0"/>
              <w:jc w:val="left"/>
              <w:rPr>
                <w:rFonts w:ascii="宋体" w:hAnsi="宋体" w:cs="宋体"/>
                <w:highlight w:val="none"/>
              </w:rPr>
            </w:pPr>
            <w:r>
              <w:rPr>
                <w:rFonts w:hint="eastAsia" w:ascii="宋体" w:hAnsi="宋体" w:cs="宋体"/>
                <w:szCs w:val="21"/>
                <w:highlight w:val="none"/>
              </w:rPr>
              <w:t>具有国家公安部消防局颁发的建（构）筑物消防员或初级或以上消防设施操作员（国家职业资格五级或以</w:t>
            </w:r>
            <w:r>
              <w:rPr>
                <w:rFonts w:hint="eastAsia" w:ascii="宋体" w:hAnsi="宋体" w:cs="宋体"/>
                <w:kern w:val="0"/>
                <w:szCs w:val="21"/>
                <w:highlight w:val="none"/>
              </w:rPr>
              <w:t>。</w:t>
            </w:r>
          </w:p>
          <w:p>
            <w:pPr>
              <w:shd w:val="clear"/>
              <w:wordWrap w:val="0"/>
              <w:jc w:val="left"/>
              <w:rPr>
                <w:rFonts w:ascii="宋体" w:hAnsi="宋体" w:cs="宋体"/>
                <w:kern w:val="0"/>
                <w:szCs w:val="21"/>
                <w:highlight w:val="none"/>
              </w:rPr>
            </w:pPr>
            <w:r>
              <w:rPr>
                <w:rFonts w:hint="eastAsia" w:ascii="宋体" w:hAnsi="宋体" w:cs="宋体"/>
                <w:kern w:val="0"/>
                <w:szCs w:val="21"/>
                <w:highlight w:val="none"/>
              </w:rPr>
              <w:t>备注：</w:t>
            </w:r>
          </w:p>
          <w:p>
            <w:pPr>
              <w:numPr>
                <w:ilvl w:val="0"/>
                <w:numId w:val="75"/>
              </w:numPr>
              <w:shd w:val="clear"/>
              <w:wordWrap w:val="0"/>
              <w:jc w:val="left"/>
              <w:rPr>
                <w:rFonts w:ascii="宋体" w:hAnsi="宋体" w:cs="宋体"/>
                <w:kern w:val="0"/>
                <w:szCs w:val="21"/>
                <w:highlight w:val="none"/>
              </w:rPr>
            </w:pPr>
            <w:r>
              <w:rPr>
                <w:rFonts w:hint="eastAsia" w:ascii="宋体" w:hAnsi="宋体" w:cs="宋体"/>
                <w:kern w:val="0"/>
                <w:szCs w:val="21"/>
                <w:highlight w:val="none"/>
              </w:rPr>
              <w:t>本项最高得2分。序号1须提供相应学历证书复印件及证书在中国高等教育学生信息网(学信网) 截图作为证明材料；序号2、3须提供证书复印件作为证明材料。</w:t>
            </w:r>
            <w:r>
              <w:rPr>
                <w:rFonts w:hint="eastAsia" w:ascii="宋体" w:hAnsi="宋体" w:cs="宋体"/>
                <w:b/>
                <w:bCs/>
                <w:kern w:val="0"/>
                <w:szCs w:val="21"/>
                <w:highlight w:val="none"/>
              </w:rPr>
              <w:t>证书原件核查。</w:t>
            </w:r>
          </w:p>
          <w:p>
            <w:pPr>
              <w:pStyle w:val="2"/>
              <w:numPr>
                <w:ilvl w:val="0"/>
                <w:numId w:val="75"/>
              </w:numPr>
              <w:shd w:val="clear"/>
              <w:wordWrap w:val="0"/>
              <w:rPr>
                <w:rFonts w:ascii="宋体" w:hAnsi="宋体" w:cs="宋体"/>
                <w:kern w:val="0"/>
                <w:szCs w:val="21"/>
                <w:highlight w:val="none"/>
              </w:rPr>
            </w:pPr>
            <w:r>
              <w:rPr>
                <w:rFonts w:hint="eastAsia" w:ascii="宋体" w:hAnsi="宋体" w:cs="宋体"/>
                <w:kern w:val="0"/>
                <w:szCs w:val="21"/>
                <w:highlight w:val="none"/>
              </w:rPr>
              <w:t>须投标人近半年（扣除发布采购公告当月往前顺推6个月）为上述人员缴纳社保资金的有效的社保证明材料或单位代缴个人所得税证明的复印件作为证明材料。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50" w:hRule="atLeast"/>
          <w:jc w:val="center"/>
        </w:trPr>
        <w:tc>
          <w:tcPr>
            <w:tcW w:w="838" w:type="dxa"/>
            <w:vAlign w:val="center"/>
          </w:tcPr>
          <w:p>
            <w:pPr>
              <w:widowControl/>
              <w:numPr>
                <w:ilvl w:val="0"/>
                <w:numId w:val="60"/>
              </w:numPr>
              <w:shd w:val="clear"/>
              <w:tabs>
                <w:tab w:val="left" w:pos="210"/>
              </w:tabs>
              <w:wordWrap w:val="0"/>
              <w:jc w:val="center"/>
              <w:rPr>
                <w:rFonts w:ascii="宋体" w:hAnsi="宋体" w:cs="宋体"/>
                <w:szCs w:val="21"/>
                <w:highlight w:val="none"/>
              </w:rPr>
            </w:pPr>
          </w:p>
        </w:tc>
        <w:tc>
          <w:tcPr>
            <w:tcW w:w="2147" w:type="dxa"/>
            <w:vAlign w:val="center"/>
          </w:tcPr>
          <w:p>
            <w:pPr>
              <w:shd w:val="clear"/>
              <w:wordWrap w:val="0"/>
              <w:jc w:val="center"/>
              <w:rPr>
                <w:rFonts w:ascii="宋体" w:hAnsi="宋体" w:cs="宋体"/>
                <w:kern w:val="0"/>
                <w:szCs w:val="21"/>
                <w:highlight w:val="none"/>
              </w:rPr>
            </w:pPr>
            <w:r>
              <w:rPr>
                <w:rFonts w:hint="eastAsia" w:ascii="宋体" w:hAnsi="宋体" w:cs="宋体"/>
                <w:kern w:val="0"/>
                <w:szCs w:val="21"/>
                <w:highlight w:val="none"/>
              </w:rPr>
              <w:t>客服负责人</w:t>
            </w:r>
          </w:p>
        </w:tc>
        <w:tc>
          <w:tcPr>
            <w:tcW w:w="892" w:type="dxa"/>
            <w:vAlign w:val="center"/>
          </w:tcPr>
          <w:p>
            <w:pPr>
              <w:widowControl/>
              <w:shd w:val="clear"/>
              <w:wordWrap w:val="0"/>
              <w:jc w:val="center"/>
              <w:rPr>
                <w:rFonts w:ascii="宋体" w:hAnsi="宋体" w:cs="宋体"/>
                <w:szCs w:val="21"/>
                <w:highlight w:val="none"/>
              </w:rPr>
            </w:pPr>
            <w:r>
              <w:rPr>
                <w:rFonts w:hint="eastAsia" w:ascii="宋体" w:hAnsi="宋体" w:cs="宋体"/>
                <w:szCs w:val="21"/>
                <w:highlight w:val="none"/>
              </w:rPr>
              <w:t>3</w:t>
            </w:r>
          </w:p>
        </w:tc>
        <w:tc>
          <w:tcPr>
            <w:tcW w:w="5449" w:type="dxa"/>
            <w:vAlign w:val="center"/>
          </w:tcPr>
          <w:p>
            <w:pPr>
              <w:shd w:val="clear"/>
              <w:wordWrap w:val="0"/>
              <w:jc w:val="left"/>
              <w:rPr>
                <w:rFonts w:ascii="宋体" w:hAnsi="宋体" w:cs="宋体"/>
                <w:szCs w:val="21"/>
                <w:highlight w:val="none"/>
              </w:rPr>
            </w:pPr>
            <w:r>
              <w:rPr>
                <w:rFonts w:hint="eastAsia" w:ascii="宋体" w:hAnsi="宋体" w:cs="宋体"/>
                <w:szCs w:val="21"/>
                <w:highlight w:val="none"/>
              </w:rPr>
              <w:t>投标人拟派客服负责人（限1人）情况：</w:t>
            </w:r>
          </w:p>
          <w:p>
            <w:pPr>
              <w:numPr>
                <w:ilvl w:val="0"/>
                <w:numId w:val="76"/>
              </w:numPr>
              <w:shd w:val="clear"/>
              <w:wordWrap w:val="0"/>
              <w:jc w:val="left"/>
              <w:rPr>
                <w:rFonts w:ascii="宋体" w:hAnsi="宋体" w:cs="宋体"/>
                <w:kern w:val="0"/>
                <w:szCs w:val="21"/>
                <w:highlight w:val="none"/>
              </w:rPr>
            </w:pPr>
            <w:r>
              <w:rPr>
                <w:rFonts w:hint="eastAsia" w:ascii="宋体" w:hAnsi="宋体" w:cs="宋体"/>
                <w:kern w:val="0"/>
                <w:szCs w:val="21"/>
                <w:highlight w:val="none"/>
              </w:rPr>
              <w:t>具有本科（或以上）学历，得1分；</w:t>
            </w:r>
          </w:p>
          <w:p>
            <w:pPr>
              <w:numPr>
                <w:ilvl w:val="0"/>
                <w:numId w:val="76"/>
              </w:numPr>
              <w:shd w:val="clear"/>
              <w:wordWrap w:val="0"/>
              <w:jc w:val="left"/>
              <w:rPr>
                <w:rFonts w:ascii="宋体" w:hAnsi="宋体" w:cs="宋体"/>
                <w:kern w:val="0"/>
                <w:szCs w:val="21"/>
                <w:highlight w:val="none"/>
              </w:rPr>
            </w:pPr>
            <w:r>
              <w:rPr>
                <w:rFonts w:hint="eastAsia" w:ascii="宋体" w:hAnsi="宋体" w:cs="宋体"/>
                <w:kern w:val="0"/>
                <w:szCs w:val="21"/>
                <w:highlight w:val="none"/>
              </w:rPr>
              <w:t>具有大学英语四级考试成绩报告单总分425分（或以上）或大学英语四级证书（成绩：合格）的，得0.5分</w:t>
            </w:r>
            <w:r>
              <w:rPr>
                <w:rFonts w:hint="eastAsia" w:ascii="宋体" w:hAnsi="宋体" w:cs="宋体"/>
                <w:highlight w:val="none"/>
              </w:rPr>
              <w:t>；大学英语六级考试成绩报告单总分425分</w:t>
            </w:r>
            <w:r>
              <w:rPr>
                <w:rFonts w:hint="eastAsia" w:ascii="宋体" w:hAnsi="宋体" w:cs="宋体"/>
                <w:kern w:val="0"/>
                <w:szCs w:val="21"/>
                <w:highlight w:val="none"/>
              </w:rPr>
              <w:t>（或以上）或大学英语六级证书（成绩：合格）的</w:t>
            </w:r>
            <w:r>
              <w:rPr>
                <w:rFonts w:hint="eastAsia" w:ascii="宋体" w:hAnsi="宋体" w:cs="宋体"/>
                <w:highlight w:val="none"/>
              </w:rPr>
              <w:t>，得1分，本子项最高得1分；</w:t>
            </w:r>
          </w:p>
          <w:p>
            <w:pPr>
              <w:numPr>
                <w:ilvl w:val="0"/>
                <w:numId w:val="76"/>
              </w:numPr>
              <w:shd w:val="clear"/>
              <w:wordWrap w:val="0"/>
              <w:jc w:val="left"/>
              <w:rPr>
                <w:rFonts w:ascii="宋体" w:hAnsi="宋体" w:cs="宋体"/>
                <w:kern w:val="0"/>
                <w:szCs w:val="21"/>
                <w:highlight w:val="none"/>
              </w:rPr>
            </w:pPr>
            <w:r>
              <w:rPr>
                <w:rFonts w:hint="eastAsia" w:ascii="宋体" w:hAnsi="宋体" w:cs="宋体"/>
                <w:kern w:val="0"/>
                <w:szCs w:val="21"/>
                <w:highlight w:val="none"/>
              </w:rPr>
              <w:t>具有普通话</w:t>
            </w:r>
            <w:r>
              <w:rPr>
                <w:rFonts w:hint="eastAsia" w:ascii="宋体" w:hAnsi="宋体" w:cs="宋体"/>
                <w:szCs w:val="21"/>
                <w:highlight w:val="none"/>
              </w:rPr>
              <w:t>二级乙等或以上</w:t>
            </w:r>
            <w:r>
              <w:rPr>
                <w:rFonts w:hint="eastAsia" w:ascii="宋体" w:hAnsi="宋体" w:cs="宋体"/>
                <w:kern w:val="0"/>
                <w:szCs w:val="21"/>
                <w:highlight w:val="none"/>
              </w:rPr>
              <w:t>等级证书，得1分。</w:t>
            </w:r>
          </w:p>
          <w:p>
            <w:pPr>
              <w:shd w:val="clear"/>
              <w:wordWrap w:val="0"/>
              <w:jc w:val="left"/>
              <w:rPr>
                <w:rFonts w:ascii="宋体" w:hAnsi="宋体" w:cs="宋体"/>
                <w:kern w:val="0"/>
                <w:szCs w:val="21"/>
                <w:highlight w:val="none"/>
              </w:rPr>
            </w:pPr>
            <w:r>
              <w:rPr>
                <w:rFonts w:hint="eastAsia" w:ascii="宋体" w:hAnsi="宋体" w:cs="宋体"/>
                <w:kern w:val="0"/>
                <w:szCs w:val="21"/>
                <w:highlight w:val="none"/>
              </w:rPr>
              <w:t>备注：</w:t>
            </w:r>
          </w:p>
          <w:p>
            <w:pPr>
              <w:numPr>
                <w:ilvl w:val="0"/>
                <w:numId w:val="77"/>
              </w:numPr>
              <w:shd w:val="clear"/>
              <w:tabs>
                <w:tab w:val="left" w:pos="0"/>
              </w:tabs>
              <w:wordWrap w:val="0"/>
              <w:jc w:val="left"/>
              <w:rPr>
                <w:rFonts w:ascii="宋体" w:hAnsi="宋体" w:cs="宋体"/>
                <w:kern w:val="0"/>
                <w:szCs w:val="21"/>
                <w:highlight w:val="none"/>
              </w:rPr>
            </w:pPr>
            <w:r>
              <w:rPr>
                <w:rFonts w:hint="eastAsia" w:ascii="宋体" w:hAnsi="宋体" w:cs="宋体"/>
                <w:kern w:val="0"/>
                <w:szCs w:val="21"/>
                <w:highlight w:val="none"/>
              </w:rPr>
              <w:t>本项最高得3分。序号1须提供相应学历证书复印件及证书在中国高等教育学生信息网(学信网) 截图作为证明材料；序号2、3须提供证书复印件作为证明材料。</w:t>
            </w:r>
            <w:r>
              <w:rPr>
                <w:rFonts w:hint="eastAsia" w:ascii="宋体" w:hAnsi="宋体" w:cs="宋体"/>
                <w:b/>
                <w:bCs/>
                <w:kern w:val="0"/>
                <w:szCs w:val="21"/>
                <w:highlight w:val="none"/>
              </w:rPr>
              <w:t>证书原件核查</w:t>
            </w:r>
            <w:r>
              <w:rPr>
                <w:rFonts w:hint="eastAsia" w:ascii="宋体" w:hAnsi="宋体" w:cs="宋体"/>
                <w:kern w:val="0"/>
                <w:szCs w:val="21"/>
                <w:highlight w:val="none"/>
              </w:rPr>
              <w:t>。</w:t>
            </w:r>
          </w:p>
          <w:p>
            <w:pPr>
              <w:pStyle w:val="2"/>
              <w:numPr>
                <w:ilvl w:val="0"/>
                <w:numId w:val="77"/>
              </w:numPr>
              <w:shd w:val="clear"/>
              <w:tabs>
                <w:tab w:val="left" w:pos="0"/>
              </w:tabs>
              <w:wordWrap w:val="0"/>
              <w:rPr>
                <w:rFonts w:ascii="宋体" w:hAnsi="宋体" w:cs="宋体"/>
                <w:kern w:val="0"/>
                <w:szCs w:val="21"/>
                <w:highlight w:val="none"/>
              </w:rPr>
            </w:pPr>
            <w:r>
              <w:rPr>
                <w:rFonts w:hint="eastAsia" w:ascii="宋体" w:hAnsi="宋体" w:cs="宋体"/>
                <w:kern w:val="0"/>
                <w:szCs w:val="21"/>
                <w:highlight w:val="none"/>
              </w:rPr>
              <w:t>须投标人近半年（扣除发布采购公告当月往前顺推6个月）为上述人员缴纳社保资金的有效的社保证明材料或单位代缴个人所得税证明的复印件作为证明材料。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838" w:type="dxa"/>
            <w:vAlign w:val="center"/>
          </w:tcPr>
          <w:p>
            <w:pPr>
              <w:widowControl/>
              <w:numPr>
                <w:ilvl w:val="0"/>
                <w:numId w:val="60"/>
              </w:numPr>
              <w:shd w:val="clear"/>
              <w:tabs>
                <w:tab w:val="left" w:pos="210"/>
              </w:tabs>
              <w:wordWrap w:val="0"/>
              <w:jc w:val="center"/>
              <w:rPr>
                <w:rFonts w:ascii="宋体" w:hAnsi="宋体" w:cs="宋体"/>
                <w:szCs w:val="21"/>
                <w:highlight w:val="none"/>
              </w:rPr>
            </w:pPr>
          </w:p>
        </w:tc>
        <w:tc>
          <w:tcPr>
            <w:tcW w:w="2147" w:type="dxa"/>
            <w:vAlign w:val="center"/>
          </w:tcPr>
          <w:p>
            <w:pPr>
              <w:shd w:val="clear"/>
              <w:wordWrap w:val="0"/>
              <w:jc w:val="center"/>
              <w:rPr>
                <w:rFonts w:ascii="宋体" w:hAnsi="宋体" w:cs="宋体"/>
                <w:kern w:val="0"/>
                <w:szCs w:val="21"/>
                <w:highlight w:val="none"/>
              </w:rPr>
            </w:pPr>
            <w:r>
              <w:rPr>
                <w:rFonts w:hint="eastAsia" w:ascii="宋体" w:hAnsi="宋体" w:cs="宋体"/>
                <w:kern w:val="0"/>
                <w:szCs w:val="21"/>
                <w:highlight w:val="none"/>
              </w:rPr>
              <w:t>环境负责人</w:t>
            </w:r>
          </w:p>
        </w:tc>
        <w:tc>
          <w:tcPr>
            <w:tcW w:w="892" w:type="dxa"/>
            <w:vAlign w:val="center"/>
          </w:tcPr>
          <w:p>
            <w:pPr>
              <w:widowControl/>
              <w:shd w:val="clear"/>
              <w:wordWrap w:val="0"/>
              <w:jc w:val="center"/>
              <w:rPr>
                <w:rFonts w:ascii="宋体" w:hAnsi="宋体" w:cs="宋体"/>
                <w:szCs w:val="21"/>
                <w:highlight w:val="none"/>
              </w:rPr>
            </w:pPr>
            <w:r>
              <w:rPr>
                <w:rFonts w:hint="eastAsia" w:ascii="宋体" w:hAnsi="宋体" w:cs="宋体"/>
                <w:szCs w:val="21"/>
                <w:highlight w:val="none"/>
              </w:rPr>
              <w:t>2</w:t>
            </w:r>
          </w:p>
        </w:tc>
        <w:tc>
          <w:tcPr>
            <w:tcW w:w="5449" w:type="dxa"/>
            <w:vAlign w:val="center"/>
          </w:tcPr>
          <w:p>
            <w:pPr>
              <w:shd w:val="clear"/>
              <w:wordWrap w:val="0"/>
              <w:jc w:val="left"/>
              <w:rPr>
                <w:rFonts w:ascii="宋体" w:hAnsi="宋体" w:cs="宋体"/>
                <w:kern w:val="0"/>
                <w:szCs w:val="21"/>
                <w:highlight w:val="none"/>
              </w:rPr>
            </w:pPr>
            <w:r>
              <w:rPr>
                <w:rFonts w:hint="eastAsia" w:ascii="宋体" w:hAnsi="宋体" w:cs="宋体"/>
                <w:kern w:val="0"/>
                <w:szCs w:val="21"/>
                <w:highlight w:val="none"/>
              </w:rPr>
              <w:t>投标人拟派环境负责人（限1人）情况：</w:t>
            </w:r>
          </w:p>
          <w:p>
            <w:pPr>
              <w:numPr>
                <w:ilvl w:val="0"/>
                <w:numId w:val="78"/>
              </w:numPr>
              <w:shd w:val="clear"/>
              <w:wordWrap w:val="0"/>
              <w:jc w:val="left"/>
              <w:rPr>
                <w:rFonts w:ascii="宋体" w:hAnsi="宋体" w:cs="宋体"/>
                <w:kern w:val="0"/>
                <w:szCs w:val="21"/>
                <w:highlight w:val="none"/>
              </w:rPr>
            </w:pPr>
            <w:r>
              <w:rPr>
                <w:rFonts w:hint="eastAsia" w:ascii="宋体" w:hAnsi="宋体" w:cs="宋体"/>
                <w:kern w:val="0"/>
                <w:szCs w:val="21"/>
                <w:highlight w:val="none"/>
              </w:rPr>
              <w:t>具有大专（或以上）学历，得1分；</w:t>
            </w:r>
          </w:p>
          <w:p>
            <w:pPr>
              <w:numPr>
                <w:ilvl w:val="0"/>
                <w:numId w:val="78"/>
              </w:numPr>
              <w:shd w:val="clear"/>
              <w:wordWrap w:val="0"/>
              <w:jc w:val="left"/>
              <w:rPr>
                <w:rFonts w:ascii="宋体" w:hAnsi="宋体" w:cs="宋体"/>
                <w:kern w:val="0"/>
                <w:szCs w:val="21"/>
                <w:highlight w:val="none"/>
              </w:rPr>
            </w:pPr>
            <w:r>
              <w:rPr>
                <w:rFonts w:hint="eastAsia" w:ascii="宋体" w:hAnsi="宋体" w:cs="宋体"/>
                <w:kern w:val="0"/>
                <w:szCs w:val="21"/>
                <w:highlight w:val="none"/>
              </w:rPr>
              <w:t>具有</w:t>
            </w:r>
            <w:r>
              <w:rPr>
                <w:rFonts w:hint="eastAsia" w:ascii="宋体" w:hAnsi="宋体" w:cs="宋体"/>
                <w:highlight w:val="none"/>
              </w:rPr>
              <w:t>风景园林类中级</w:t>
            </w:r>
            <w:r>
              <w:rPr>
                <w:rFonts w:hint="eastAsia" w:ascii="宋体" w:hAnsi="宋体" w:cs="宋体"/>
                <w:kern w:val="0"/>
                <w:szCs w:val="21"/>
                <w:highlight w:val="none"/>
              </w:rPr>
              <w:t>（或以上）职称证书的，得1分。</w:t>
            </w:r>
          </w:p>
          <w:p>
            <w:pPr>
              <w:shd w:val="clear"/>
              <w:wordWrap w:val="0"/>
              <w:jc w:val="left"/>
              <w:rPr>
                <w:rFonts w:ascii="宋体" w:hAnsi="宋体" w:cs="宋体"/>
                <w:kern w:val="0"/>
                <w:szCs w:val="21"/>
                <w:highlight w:val="none"/>
              </w:rPr>
            </w:pPr>
            <w:r>
              <w:rPr>
                <w:rFonts w:hint="eastAsia" w:ascii="宋体" w:hAnsi="宋体" w:cs="宋体"/>
                <w:kern w:val="0"/>
                <w:szCs w:val="21"/>
                <w:highlight w:val="none"/>
              </w:rPr>
              <w:t>备注：</w:t>
            </w:r>
          </w:p>
          <w:p>
            <w:pPr>
              <w:numPr>
                <w:ilvl w:val="0"/>
                <w:numId w:val="79"/>
              </w:numPr>
              <w:shd w:val="clear"/>
              <w:tabs>
                <w:tab w:val="left" w:pos="0"/>
              </w:tabs>
              <w:wordWrap w:val="0"/>
              <w:jc w:val="left"/>
              <w:rPr>
                <w:rFonts w:ascii="宋体" w:hAnsi="宋体" w:cs="宋体"/>
                <w:kern w:val="0"/>
                <w:szCs w:val="21"/>
                <w:highlight w:val="none"/>
              </w:rPr>
            </w:pPr>
            <w:r>
              <w:rPr>
                <w:rFonts w:hint="eastAsia" w:ascii="宋体" w:hAnsi="宋体" w:cs="宋体"/>
                <w:kern w:val="0"/>
                <w:szCs w:val="21"/>
                <w:highlight w:val="none"/>
              </w:rPr>
              <w:t>本项最高得2分。序号1须提供相应学历证书复印件及证书在中国高等教育学生信息网(学信网) 截图作为证明材料；序号2须提供证书复印件作为证明材料。</w:t>
            </w:r>
            <w:r>
              <w:rPr>
                <w:rFonts w:hint="eastAsia" w:ascii="宋体" w:hAnsi="宋体" w:cs="宋体"/>
                <w:b/>
                <w:bCs/>
                <w:kern w:val="0"/>
                <w:szCs w:val="21"/>
                <w:highlight w:val="none"/>
              </w:rPr>
              <w:t>证书原件核查。</w:t>
            </w:r>
          </w:p>
          <w:p>
            <w:pPr>
              <w:numPr>
                <w:ilvl w:val="0"/>
                <w:numId w:val="79"/>
              </w:numPr>
              <w:shd w:val="clear"/>
              <w:tabs>
                <w:tab w:val="left" w:pos="0"/>
              </w:tabs>
              <w:wordWrap w:val="0"/>
              <w:jc w:val="left"/>
              <w:rPr>
                <w:rFonts w:ascii="宋体" w:hAnsi="宋体" w:cs="宋体"/>
                <w:kern w:val="0"/>
                <w:szCs w:val="21"/>
                <w:highlight w:val="none"/>
              </w:rPr>
            </w:pPr>
            <w:r>
              <w:rPr>
                <w:rFonts w:hint="eastAsia" w:ascii="宋体" w:hAnsi="宋体" w:cs="宋体"/>
                <w:kern w:val="0"/>
                <w:szCs w:val="21"/>
                <w:highlight w:val="none"/>
              </w:rPr>
              <w:t>须投标人近半年（扣除发布采购公告当月往前顺推6个月）为上述人员缴纳社保资金的有效的社保证明材料或单位代缴个人所得税证明的复印件作为证明材料。</w:t>
            </w:r>
          </w:p>
        </w:tc>
      </w:tr>
    </w:tbl>
    <w:p>
      <w:pPr>
        <w:shd w:val="clear"/>
        <w:snapToGrid w:val="0"/>
        <w:spacing w:line="360" w:lineRule="auto"/>
        <w:ind w:firstLine="105" w:firstLineChars="50"/>
        <w:rPr>
          <w:rFonts w:ascii="宋体" w:hAnsi="宋体" w:cs="宋体"/>
          <w:snapToGrid w:val="0"/>
          <w:kern w:val="0"/>
          <w:szCs w:val="21"/>
          <w:highlight w:val="none"/>
        </w:rPr>
      </w:pPr>
      <w:r>
        <w:rPr>
          <w:rFonts w:hint="eastAsia" w:ascii="宋体" w:hAnsi="宋体" w:cs="宋体"/>
          <w:snapToGrid w:val="0"/>
          <w:kern w:val="0"/>
          <w:szCs w:val="21"/>
          <w:highlight w:val="none"/>
        </w:rPr>
        <w:t>备注：</w:t>
      </w:r>
    </w:p>
    <w:p>
      <w:pPr>
        <w:numPr>
          <w:ilvl w:val="0"/>
          <w:numId w:val="80"/>
        </w:numPr>
        <w:shd w:val="clear"/>
        <w:snapToGrid w:val="0"/>
        <w:spacing w:line="360" w:lineRule="auto"/>
        <w:rPr>
          <w:rFonts w:ascii="宋体" w:hAnsi="宋体" w:cs="宋体"/>
          <w:bCs/>
          <w:szCs w:val="21"/>
          <w:highlight w:val="none"/>
        </w:rPr>
      </w:pPr>
      <w:r>
        <w:rPr>
          <w:rFonts w:hint="eastAsia" w:ascii="宋体" w:hAnsi="宋体" w:cs="宋体"/>
          <w:bCs/>
          <w:szCs w:val="21"/>
          <w:highlight w:val="none"/>
        </w:rPr>
        <w:t>招标文件要求提交的与评价指标体系相关的各类有效资料，投标人如未按要求提交的，该项评分为零分。</w:t>
      </w:r>
    </w:p>
    <w:p>
      <w:pPr>
        <w:numPr>
          <w:ilvl w:val="0"/>
          <w:numId w:val="80"/>
        </w:numPr>
        <w:shd w:val="clear"/>
        <w:snapToGrid w:val="0"/>
        <w:spacing w:line="360" w:lineRule="auto"/>
        <w:rPr>
          <w:rFonts w:ascii="宋体" w:hAnsi="宋体" w:cs="宋体"/>
          <w:bCs/>
          <w:szCs w:val="21"/>
          <w:highlight w:val="none"/>
        </w:rPr>
      </w:pPr>
      <w:r>
        <w:rPr>
          <w:rFonts w:hint="eastAsia" w:ascii="宋体" w:hAnsi="宋体" w:cs="宋体"/>
          <w:bCs/>
          <w:szCs w:val="21"/>
          <w:highlight w:val="none"/>
        </w:rPr>
        <w:t>技术评分：所有评委评分分值的算术平均值（四舍五入后，</w:t>
      </w:r>
      <w:r>
        <w:rPr>
          <w:rFonts w:hint="eastAsia" w:ascii="宋体" w:hAnsi="宋体" w:cs="宋体"/>
          <w:szCs w:val="21"/>
          <w:highlight w:val="none"/>
        </w:rPr>
        <w:t>小数点后保留两位有效数</w:t>
      </w:r>
      <w:r>
        <w:rPr>
          <w:rFonts w:hint="eastAsia" w:ascii="宋体" w:hAnsi="宋体" w:cs="宋体"/>
          <w:bCs/>
          <w:szCs w:val="21"/>
          <w:highlight w:val="none"/>
        </w:rPr>
        <w:t>）。</w:t>
      </w:r>
    </w:p>
    <w:p>
      <w:pPr>
        <w:numPr>
          <w:ilvl w:val="0"/>
          <w:numId w:val="80"/>
        </w:numPr>
        <w:shd w:val="clear"/>
        <w:snapToGrid w:val="0"/>
        <w:spacing w:line="360" w:lineRule="auto"/>
        <w:rPr>
          <w:rFonts w:ascii="宋体" w:hAnsi="宋体" w:cs="宋体"/>
          <w:bCs/>
          <w:szCs w:val="21"/>
          <w:highlight w:val="none"/>
        </w:rPr>
      </w:pPr>
      <w:r>
        <w:rPr>
          <w:rFonts w:hint="eastAsia" w:ascii="宋体" w:hAnsi="宋体"/>
          <w:bCs/>
          <w:highlight w:val="none"/>
        </w:rPr>
        <w:t>评审内容中所要求提交“原件”的应独立封装，并内附“资料原件提交清单”（详见第七章投标文件格式），评标结束当日退回，如未提供原件的，该项评分为0分。“资料原件提交清单”请按要求提交，如因未提交产生的不利影响，由投标人自行承担。</w:t>
      </w:r>
    </w:p>
    <w:p>
      <w:pPr>
        <w:shd w:val="clear"/>
        <w:snapToGrid w:val="0"/>
        <w:spacing w:line="360" w:lineRule="auto"/>
        <w:ind w:firstLine="525" w:firstLineChars="250"/>
        <w:rPr>
          <w:rFonts w:ascii="宋体" w:hAnsi="宋体" w:cs="宋体"/>
          <w:bCs/>
          <w:szCs w:val="21"/>
          <w:highlight w:val="none"/>
        </w:rPr>
        <w:sectPr>
          <w:pgSz w:w="11906" w:h="16838"/>
          <w:pgMar w:top="1440" w:right="1286" w:bottom="1440" w:left="1440" w:header="851" w:footer="992" w:gutter="0"/>
          <w:cols w:space="720" w:num="1"/>
          <w:docGrid w:type="lines" w:linePitch="312" w:charSpace="0"/>
        </w:sectPr>
      </w:pPr>
    </w:p>
    <w:p>
      <w:pPr>
        <w:shd w:val="clear"/>
        <w:adjustRightInd w:val="0"/>
        <w:snapToGrid w:val="0"/>
        <w:spacing w:before="156" w:beforeLines="50" w:after="156" w:afterLines="50" w:line="360" w:lineRule="auto"/>
        <w:jc w:val="center"/>
        <w:rPr>
          <w:rFonts w:ascii="黑体" w:hAnsi="宋体" w:eastAsia="黑体" w:cs="宋体"/>
          <w:sz w:val="28"/>
          <w:szCs w:val="28"/>
          <w:highlight w:val="none"/>
        </w:rPr>
      </w:pPr>
      <w:r>
        <w:rPr>
          <w:rFonts w:hint="eastAsia" w:ascii="黑体" w:hAnsi="宋体" w:eastAsia="黑体" w:cs="宋体"/>
          <w:sz w:val="28"/>
          <w:szCs w:val="28"/>
          <w:highlight w:val="none"/>
        </w:rPr>
        <w:t>商务部分评分表</w:t>
      </w:r>
    </w:p>
    <w:p>
      <w:pPr>
        <w:shd w:val="clear"/>
        <w:adjustRightInd w:val="0"/>
        <w:snapToGrid w:val="0"/>
        <w:spacing w:before="156" w:beforeLines="50" w:after="156" w:afterLines="50" w:line="360" w:lineRule="auto"/>
        <w:jc w:val="center"/>
        <w:rPr>
          <w:rFonts w:ascii="黑体" w:hAnsi="宋体" w:eastAsia="黑体" w:cs="宋体"/>
          <w:sz w:val="28"/>
          <w:szCs w:val="28"/>
          <w:highlight w:val="none"/>
        </w:rPr>
      </w:pPr>
      <w:r>
        <w:rPr>
          <w:rFonts w:hint="eastAsia" w:ascii="黑体" w:hAnsi="宋体" w:eastAsia="黑体" w:cs="宋体"/>
          <w:sz w:val="28"/>
          <w:szCs w:val="28"/>
          <w:highlight w:val="none"/>
        </w:rPr>
        <w:t>（35分）</w:t>
      </w:r>
    </w:p>
    <w:tbl>
      <w:tblPr>
        <w:tblStyle w:val="22"/>
        <w:tblW w:w="93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8"/>
        <w:gridCol w:w="1712"/>
        <w:gridCol w:w="960"/>
        <w:gridCol w:w="58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exact"/>
          <w:jc w:val="center"/>
        </w:trPr>
        <w:tc>
          <w:tcPr>
            <w:tcW w:w="838" w:type="dxa"/>
            <w:vAlign w:val="center"/>
          </w:tcPr>
          <w:p>
            <w:pPr>
              <w:shd w:val="clear"/>
              <w:jc w:val="center"/>
              <w:rPr>
                <w:rFonts w:hint="eastAsia" w:ascii="宋体" w:hAnsi="宋体" w:eastAsia="宋体" w:cs="宋体"/>
                <w:b/>
                <w:szCs w:val="21"/>
                <w:highlight w:val="none"/>
              </w:rPr>
            </w:pPr>
            <w:r>
              <w:rPr>
                <w:rFonts w:hint="eastAsia" w:ascii="宋体" w:hAnsi="宋体" w:eastAsia="宋体" w:cs="宋体"/>
                <w:b/>
                <w:szCs w:val="21"/>
                <w:highlight w:val="none"/>
              </w:rPr>
              <w:t>序号</w:t>
            </w:r>
          </w:p>
        </w:tc>
        <w:tc>
          <w:tcPr>
            <w:tcW w:w="1712" w:type="dxa"/>
            <w:vAlign w:val="center"/>
          </w:tcPr>
          <w:p>
            <w:pPr>
              <w:shd w:val="clear"/>
              <w:jc w:val="center"/>
              <w:rPr>
                <w:rFonts w:hint="eastAsia" w:ascii="宋体" w:hAnsi="宋体" w:eastAsia="宋体" w:cs="宋体"/>
                <w:b/>
                <w:szCs w:val="21"/>
                <w:highlight w:val="none"/>
              </w:rPr>
            </w:pPr>
            <w:r>
              <w:rPr>
                <w:rFonts w:hint="eastAsia" w:ascii="宋体" w:hAnsi="宋体" w:eastAsia="宋体" w:cs="宋体"/>
                <w:b/>
                <w:szCs w:val="21"/>
                <w:highlight w:val="none"/>
              </w:rPr>
              <w:t>评分因素</w:t>
            </w:r>
          </w:p>
        </w:tc>
        <w:tc>
          <w:tcPr>
            <w:tcW w:w="960" w:type="dxa"/>
            <w:vAlign w:val="center"/>
          </w:tcPr>
          <w:p>
            <w:pPr>
              <w:shd w:val="clear"/>
              <w:jc w:val="center"/>
              <w:rPr>
                <w:rFonts w:hint="eastAsia" w:ascii="宋体" w:hAnsi="宋体" w:eastAsia="宋体" w:cs="宋体"/>
                <w:b/>
                <w:szCs w:val="21"/>
                <w:highlight w:val="none"/>
                <w:u w:val="single"/>
              </w:rPr>
            </w:pPr>
            <w:r>
              <w:rPr>
                <w:rFonts w:hint="eastAsia" w:ascii="宋体" w:hAnsi="宋体" w:eastAsia="宋体" w:cs="宋体"/>
                <w:b/>
                <w:szCs w:val="21"/>
                <w:highlight w:val="none"/>
              </w:rPr>
              <w:t>分值（分）</w:t>
            </w:r>
          </w:p>
        </w:tc>
        <w:tc>
          <w:tcPr>
            <w:tcW w:w="5816" w:type="dxa"/>
            <w:vAlign w:val="center"/>
          </w:tcPr>
          <w:p>
            <w:pPr>
              <w:shd w:val="clear"/>
              <w:jc w:val="center"/>
              <w:rPr>
                <w:rFonts w:hint="eastAsia" w:ascii="宋体" w:hAnsi="宋体" w:eastAsia="宋体" w:cs="宋体"/>
                <w:b/>
                <w:szCs w:val="21"/>
                <w:highlight w:val="none"/>
              </w:rPr>
            </w:pPr>
            <w:r>
              <w:rPr>
                <w:rFonts w:hint="eastAsia" w:ascii="宋体" w:hAnsi="宋体" w:eastAsia="宋体" w:cs="宋体"/>
                <w:b/>
                <w:szCs w:val="21"/>
                <w:highlight w:val="none"/>
              </w:rPr>
              <w:t>评分细则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0" w:hRule="atLeast"/>
          <w:jc w:val="center"/>
        </w:trPr>
        <w:tc>
          <w:tcPr>
            <w:tcW w:w="838" w:type="dxa"/>
            <w:vAlign w:val="center"/>
          </w:tcPr>
          <w:p>
            <w:pPr>
              <w:widowControl/>
              <w:numPr>
                <w:ilvl w:val="0"/>
                <w:numId w:val="81"/>
              </w:numPr>
              <w:shd w:val="clear"/>
              <w:tabs>
                <w:tab w:val="left" w:pos="210"/>
              </w:tabs>
              <w:jc w:val="center"/>
              <w:rPr>
                <w:rFonts w:hint="eastAsia" w:ascii="宋体" w:hAnsi="宋体" w:eastAsia="宋体" w:cs="宋体"/>
                <w:szCs w:val="21"/>
                <w:highlight w:val="none"/>
              </w:rPr>
            </w:pPr>
          </w:p>
        </w:tc>
        <w:tc>
          <w:tcPr>
            <w:tcW w:w="1712" w:type="dxa"/>
            <w:vAlign w:val="center"/>
          </w:tcPr>
          <w:p>
            <w:pPr>
              <w:widowControl/>
              <w:shd w:val="clear"/>
              <w:jc w:val="center"/>
              <w:rPr>
                <w:rFonts w:hint="eastAsia" w:ascii="宋体" w:hAnsi="宋体" w:eastAsia="宋体" w:cs="宋体"/>
                <w:szCs w:val="21"/>
                <w:highlight w:val="none"/>
              </w:rPr>
            </w:pPr>
            <w:r>
              <w:rPr>
                <w:rFonts w:hint="eastAsia" w:ascii="宋体" w:hAnsi="宋体" w:cs="宋体"/>
                <w:kern w:val="0"/>
                <w:szCs w:val="21"/>
                <w:highlight w:val="none"/>
              </w:rPr>
              <w:t>特色创新方案</w:t>
            </w:r>
          </w:p>
        </w:tc>
        <w:tc>
          <w:tcPr>
            <w:tcW w:w="960" w:type="dxa"/>
            <w:vAlign w:val="center"/>
          </w:tcPr>
          <w:p>
            <w:pPr>
              <w:widowControl/>
              <w:shd w:val="clear"/>
              <w:jc w:val="center"/>
              <w:rPr>
                <w:rFonts w:hint="eastAsia" w:ascii="宋体" w:hAnsi="宋体" w:eastAsia="宋体" w:cs="宋体"/>
                <w:szCs w:val="21"/>
                <w:highlight w:val="none"/>
              </w:rPr>
            </w:pPr>
            <w:r>
              <w:rPr>
                <w:rFonts w:hint="eastAsia" w:ascii="宋体" w:hAnsi="宋体" w:cs="宋体"/>
                <w:szCs w:val="21"/>
                <w:highlight w:val="none"/>
              </w:rPr>
              <w:t>2</w:t>
            </w:r>
          </w:p>
        </w:tc>
        <w:tc>
          <w:tcPr>
            <w:tcW w:w="5816" w:type="dxa"/>
            <w:vAlign w:val="center"/>
          </w:tcPr>
          <w:p>
            <w:pPr>
              <w:pStyle w:val="42"/>
              <w:shd w:val="clear"/>
              <w:rPr>
                <w:rFonts w:hAnsi="宋体" w:cs="宋体"/>
                <w:highlight w:val="none"/>
              </w:rPr>
            </w:pPr>
            <w:r>
              <w:rPr>
                <w:rFonts w:hint="eastAsia" w:hAnsi="宋体" w:cs="宋体"/>
                <w:highlight w:val="none"/>
              </w:rPr>
              <w:t>根据各投标人对本项目提供的特色创新方案（包括但不限于结合本项目实际情况，从物业管理的角度提出创新性的管理或服务建议等）进行评审：</w:t>
            </w:r>
          </w:p>
          <w:p>
            <w:pPr>
              <w:pStyle w:val="42"/>
              <w:numPr>
                <w:ilvl w:val="0"/>
                <w:numId w:val="82"/>
              </w:numPr>
              <w:shd w:val="clear"/>
              <w:rPr>
                <w:rFonts w:hAnsi="宋体" w:cs="宋体"/>
                <w:highlight w:val="none"/>
              </w:rPr>
            </w:pPr>
            <w:r>
              <w:rPr>
                <w:rFonts w:hint="eastAsia" w:hAnsi="宋体" w:cs="宋体"/>
                <w:highlight w:val="none"/>
              </w:rPr>
              <w:t>方案全面、详细、具体，可操作性高，得2分；</w:t>
            </w:r>
          </w:p>
          <w:p>
            <w:pPr>
              <w:pStyle w:val="42"/>
              <w:numPr>
                <w:ilvl w:val="0"/>
                <w:numId w:val="82"/>
              </w:numPr>
              <w:shd w:val="clear"/>
              <w:rPr>
                <w:rFonts w:hAnsi="宋体" w:cs="宋体"/>
                <w:highlight w:val="none"/>
              </w:rPr>
            </w:pPr>
            <w:r>
              <w:rPr>
                <w:rFonts w:hint="eastAsia" w:hAnsi="宋体" w:cs="宋体"/>
                <w:highlight w:val="none"/>
              </w:rPr>
              <w:t>方案较为全面、较详细，可操作性较高，得1分；</w:t>
            </w:r>
          </w:p>
          <w:p>
            <w:pPr>
              <w:pStyle w:val="42"/>
              <w:numPr>
                <w:ilvl w:val="0"/>
                <w:numId w:val="82"/>
              </w:numPr>
              <w:shd w:val="clear"/>
              <w:rPr>
                <w:rFonts w:hAnsi="宋体" w:cs="宋体"/>
                <w:highlight w:val="none"/>
              </w:rPr>
            </w:pPr>
            <w:r>
              <w:rPr>
                <w:rFonts w:hint="eastAsia" w:hAnsi="宋体" w:cs="宋体"/>
                <w:highlight w:val="none"/>
              </w:rPr>
              <w:t>方案不全面、简单，可操作性较差，得0.5分；</w:t>
            </w:r>
          </w:p>
          <w:p>
            <w:pPr>
              <w:pStyle w:val="42"/>
              <w:numPr>
                <w:ilvl w:val="0"/>
                <w:numId w:val="82"/>
              </w:numPr>
              <w:shd w:val="clear"/>
              <w:rPr>
                <w:rFonts w:hAnsi="宋体" w:cs="宋体"/>
                <w:highlight w:val="none"/>
              </w:rPr>
            </w:pPr>
            <w:r>
              <w:rPr>
                <w:rFonts w:hint="eastAsia" w:hAnsi="宋体" w:cs="宋体"/>
                <w:highlight w:val="none"/>
              </w:rPr>
              <w:t>不提供方案不得分。</w:t>
            </w:r>
          </w:p>
          <w:p>
            <w:pPr>
              <w:pStyle w:val="42"/>
              <w:shd w:val="clear"/>
              <w:rPr>
                <w:rFonts w:hint="eastAsia" w:ascii="宋体" w:hAnsi="宋体" w:eastAsia="宋体" w:cs="宋体"/>
                <w:kern w:val="0"/>
                <w:highlight w:val="none"/>
              </w:rPr>
            </w:pPr>
            <w:r>
              <w:rPr>
                <w:rFonts w:hint="eastAsia" w:hAnsi="宋体" w:cs="宋体"/>
                <w:highlight w:val="none"/>
              </w:rPr>
              <w:t>（须提供相关证明材料，不提供不得分）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0" w:hRule="atLeast"/>
          <w:jc w:val="center"/>
        </w:trPr>
        <w:tc>
          <w:tcPr>
            <w:tcW w:w="838" w:type="dxa"/>
            <w:vAlign w:val="center"/>
          </w:tcPr>
          <w:p>
            <w:pPr>
              <w:widowControl/>
              <w:numPr>
                <w:ilvl w:val="0"/>
                <w:numId w:val="81"/>
              </w:numPr>
              <w:shd w:val="clear"/>
              <w:tabs>
                <w:tab w:val="left" w:pos="210"/>
              </w:tabs>
              <w:jc w:val="center"/>
              <w:rPr>
                <w:rFonts w:hint="eastAsia" w:ascii="宋体" w:hAnsi="宋体" w:eastAsia="宋体" w:cs="宋体"/>
                <w:szCs w:val="21"/>
                <w:highlight w:val="none"/>
              </w:rPr>
            </w:pPr>
          </w:p>
        </w:tc>
        <w:tc>
          <w:tcPr>
            <w:tcW w:w="1712" w:type="dxa"/>
            <w:vAlign w:val="center"/>
          </w:tcPr>
          <w:p>
            <w:pPr>
              <w:widowControl/>
              <w:shd w:val="clear"/>
              <w:jc w:val="center"/>
              <w:rPr>
                <w:rFonts w:hint="eastAsia" w:ascii="宋体" w:hAnsi="宋体" w:eastAsia="宋体" w:cs="宋体"/>
                <w:kern w:val="0"/>
                <w:szCs w:val="21"/>
                <w:highlight w:val="none"/>
                <w:lang w:bidi="ar"/>
              </w:rPr>
            </w:pPr>
            <w:r>
              <w:rPr>
                <w:rFonts w:hint="eastAsia" w:ascii="宋体" w:hAnsi="宋体" w:eastAsia="宋体" w:cs="宋体"/>
                <w:szCs w:val="21"/>
                <w:highlight w:val="none"/>
              </w:rPr>
              <w:t>管理体系</w:t>
            </w:r>
          </w:p>
        </w:tc>
        <w:tc>
          <w:tcPr>
            <w:tcW w:w="960" w:type="dxa"/>
            <w:vAlign w:val="center"/>
          </w:tcPr>
          <w:p>
            <w:pPr>
              <w:widowControl/>
              <w:shd w:val="clear"/>
              <w:jc w:val="center"/>
              <w:rPr>
                <w:rFonts w:hint="eastAsia" w:ascii="宋体" w:hAnsi="宋体" w:eastAsia="宋体" w:cs="宋体"/>
                <w:kern w:val="0"/>
                <w:szCs w:val="21"/>
                <w:highlight w:val="none"/>
                <w:lang w:bidi="ar"/>
              </w:rPr>
            </w:pPr>
            <w:r>
              <w:rPr>
                <w:rFonts w:hint="eastAsia" w:ascii="宋体" w:hAnsi="宋体" w:eastAsia="宋体" w:cs="宋体"/>
                <w:szCs w:val="21"/>
                <w:highlight w:val="none"/>
              </w:rPr>
              <w:t>4</w:t>
            </w:r>
          </w:p>
        </w:tc>
        <w:tc>
          <w:tcPr>
            <w:tcW w:w="5816" w:type="dxa"/>
            <w:vAlign w:val="center"/>
          </w:tcPr>
          <w:p>
            <w:pPr>
              <w:widowControl/>
              <w:numPr>
                <w:ilvl w:val="255"/>
                <w:numId w:val="0"/>
              </w:numPr>
              <w:shd w:val="clear"/>
              <w:rPr>
                <w:rFonts w:hint="eastAsia" w:ascii="宋体" w:hAnsi="宋体" w:eastAsia="宋体" w:cs="宋体"/>
                <w:kern w:val="0"/>
                <w:szCs w:val="21"/>
                <w:highlight w:val="none"/>
              </w:rPr>
            </w:pPr>
            <w:r>
              <w:rPr>
                <w:rFonts w:hint="eastAsia" w:ascii="宋体" w:hAnsi="宋体" w:eastAsia="宋体" w:cs="宋体"/>
                <w:kern w:val="0"/>
                <w:szCs w:val="21"/>
                <w:highlight w:val="none"/>
              </w:rPr>
              <w:t>投标人具有有效的：</w:t>
            </w:r>
          </w:p>
          <w:p>
            <w:pPr>
              <w:widowControl/>
              <w:numPr>
                <w:ilvl w:val="0"/>
                <w:numId w:val="83"/>
              </w:numPr>
              <w:shd w:val="clear"/>
              <w:rPr>
                <w:rFonts w:hint="eastAsia" w:ascii="宋体" w:hAnsi="宋体" w:eastAsia="宋体" w:cs="宋体"/>
                <w:kern w:val="0"/>
                <w:szCs w:val="21"/>
                <w:highlight w:val="none"/>
              </w:rPr>
            </w:pPr>
            <w:r>
              <w:rPr>
                <w:rFonts w:hint="eastAsia" w:ascii="宋体" w:hAnsi="宋体" w:eastAsia="宋体" w:cs="宋体"/>
                <w:kern w:val="0"/>
                <w:szCs w:val="21"/>
                <w:highlight w:val="none"/>
              </w:rPr>
              <w:t>质量管理体系认证证书的，得1分；</w:t>
            </w:r>
          </w:p>
          <w:p>
            <w:pPr>
              <w:widowControl/>
              <w:numPr>
                <w:ilvl w:val="0"/>
                <w:numId w:val="83"/>
              </w:numPr>
              <w:shd w:val="clear"/>
              <w:rPr>
                <w:rFonts w:hint="eastAsia" w:ascii="宋体" w:hAnsi="宋体" w:eastAsia="宋体" w:cs="宋体"/>
                <w:kern w:val="0"/>
                <w:szCs w:val="21"/>
                <w:highlight w:val="none"/>
              </w:rPr>
            </w:pPr>
            <w:r>
              <w:rPr>
                <w:rFonts w:hint="eastAsia" w:ascii="宋体" w:hAnsi="宋体" w:eastAsia="宋体" w:cs="宋体"/>
                <w:kern w:val="0"/>
                <w:szCs w:val="21"/>
                <w:highlight w:val="none"/>
              </w:rPr>
              <w:t>环境管理体系认证证书的，得1分；</w:t>
            </w:r>
          </w:p>
          <w:p>
            <w:pPr>
              <w:widowControl/>
              <w:numPr>
                <w:ilvl w:val="0"/>
                <w:numId w:val="83"/>
              </w:numPr>
              <w:shd w:val="clear"/>
              <w:rPr>
                <w:rFonts w:hint="eastAsia" w:ascii="宋体" w:hAnsi="宋体" w:eastAsia="宋体" w:cs="宋体"/>
                <w:kern w:val="0"/>
                <w:szCs w:val="21"/>
                <w:highlight w:val="none"/>
              </w:rPr>
            </w:pPr>
            <w:r>
              <w:rPr>
                <w:rFonts w:hint="eastAsia" w:ascii="宋体" w:hAnsi="宋体" w:eastAsia="宋体" w:cs="宋体"/>
                <w:kern w:val="0"/>
                <w:szCs w:val="21"/>
                <w:highlight w:val="none"/>
              </w:rPr>
              <w:t>职业健康安全管理体系认证证书的，得1分；</w:t>
            </w:r>
          </w:p>
          <w:p>
            <w:pPr>
              <w:widowControl/>
              <w:numPr>
                <w:ilvl w:val="0"/>
                <w:numId w:val="83"/>
              </w:numPr>
              <w:shd w:val="clear"/>
              <w:rPr>
                <w:rFonts w:hint="eastAsia" w:ascii="宋体" w:hAnsi="宋体" w:eastAsia="宋体" w:cs="宋体"/>
                <w:kern w:val="0"/>
                <w:szCs w:val="21"/>
                <w:highlight w:val="none"/>
              </w:rPr>
            </w:pPr>
            <w:r>
              <w:rPr>
                <w:rFonts w:hint="eastAsia" w:ascii="宋体" w:hAnsi="宋体" w:eastAsia="宋体" w:cs="宋体"/>
                <w:kern w:val="0"/>
                <w:szCs w:val="21"/>
                <w:highlight w:val="none"/>
              </w:rPr>
              <w:t>企业社会责任管理体系认证证书的，得1分。</w:t>
            </w:r>
          </w:p>
          <w:p>
            <w:pPr>
              <w:widowControl/>
              <w:shd w:val="clear"/>
              <w:rPr>
                <w:rFonts w:hint="eastAsia" w:ascii="宋体" w:hAnsi="宋体" w:eastAsia="宋体" w:cs="宋体"/>
                <w:kern w:val="0"/>
                <w:szCs w:val="21"/>
                <w:highlight w:val="none"/>
                <w:lang w:bidi="ar"/>
              </w:rPr>
            </w:pPr>
            <w:r>
              <w:rPr>
                <w:rFonts w:hint="eastAsia" w:ascii="宋体" w:hAnsi="宋体" w:eastAsia="宋体" w:cs="宋体"/>
                <w:kern w:val="0"/>
                <w:szCs w:val="21"/>
                <w:highlight w:val="none"/>
              </w:rPr>
              <w:t>注：</w:t>
            </w:r>
            <w:r>
              <w:rPr>
                <w:rFonts w:hint="eastAsia" w:ascii="宋体" w:hAnsi="宋体" w:cs="宋体"/>
                <w:kern w:val="0"/>
                <w:szCs w:val="21"/>
                <w:highlight w:val="none"/>
              </w:rPr>
              <w:t>本项最高得4分。</w:t>
            </w:r>
            <w:r>
              <w:rPr>
                <w:rFonts w:hint="eastAsia" w:ascii="宋体" w:hAnsi="宋体" w:eastAsia="宋体" w:cs="宋体"/>
                <w:kern w:val="0"/>
                <w:szCs w:val="21"/>
                <w:highlight w:val="none"/>
                <w:lang w:bidi="ar"/>
              </w:rPr>
              <w:t>须同时提供有效的证书复印件及在全国认证认可信息公共服务平台（www.cnca.cn）对体系证书的信息查询“有效”截图作为评审依据，已失效或撤销或暂停或不提供不得分</w:t>
            </w:r>
            <w:r>
              <w:rPr>
                <w:rFonts w:hint="eastAsia" w:ascii="宋体" w:hAnsi="宋体" w:eastAsia="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838" w:type="dxa"/>
            <w:vAlign w:val="center"/>
          </w:tcPr>
          <w:p>
            <w:pPr>
              <w:widowControl/>
              <w:numPr>
                <w:ilvl w:val="0"/>
                <w:numId w:val="81"/>
              </w:numPr>
              <w:shd w:val="clear"/>
              <w:tabs>
                <w:tab w:val="left" w:pos="210"/>
              </w:tabs>
              <w:jc w:val="center"/>
              <w:rPr>
                <w:rFonts w:hint="eastAsia" w:ascii="宋体" w:hAnsi="宋体" w:eastAsia="宋体" w:cs="宋体"/>
                <w:szCs w:val="21"/>
                <w:highlight w:val="none"/>
              </w:rPr>
            </w:pPr>
          </w:p>
        </w:tc>
        <w:tc>
          <w:tcPr>
            <w:tcW w:w="1712" w:type="dxa"/>
            <w:vAlign w:val="center"/>
          </w:tcPr>
          <w:p>
            <w:pPr>
              <w:widowControl/>
              <w:shd w:val="clear"/>
              <w:jc w:val="center"/>
              <w:rPr>
                <w:rFonts w:hint="eastAsia" w:ascii="宋体" w:hAnsi="宋体" w:eastAsia="宋体" w:cs="宋体"/>
                <w:szCs w:val="21"/>
                <w:highlight w:val="none"/>
              </w:rPr>
            </w:pPr>
            <w:r>
              <w:rPr>
                <w:rFonts w:hint="eastAsia" w:ascii="宋体" w:hAnsi="宋体" w:eastAsia="宋体" w:cs="宋体"/>
                <w:kern w:val="0"/>
                <w:szCs w:val="21"/>
                <w:highlight w:val="none"/>
              </w:rPr>
              <w:t>同类项目业绩</w:t>
            </w:r>
          </w:p>
        </w:tc>
        <w:tc>
          <w:tcPr>
            <w:tcW w:w="960" w:type="dxa"/>
            <w:vAlign w:val="center"/>
          </w:tcPr>
          <w:p>
            <w:pPr>
              <w:shd w:val="clear"/>
              <w:jc w:val="center"/>
              <w:rPr>
                <w:rFonts w:hint="eastAsia" w:ascii="宋体" w:hAnsi="宋体" w:eastAsia="宋体" w:cs="宋体"/>
                <w:szCs w:val="21"/>
                <w:highlight w:val="none"/>
              </w:rPr>
            </w:pPr>
            <w:r>
              <w:rPr>
                <w:rFonts w:hint="eastAsia" w:ascii="宋体" w:hAnsi="宋体" w:eastAsia="宋体" w:cs="宋体"/>
                <w:kern w:val="0"/>
                <w:szCs w:val="21"/>
                <w:highlight w:val="none"/>
                <w:lang w:bidi="ar"/>
              </w:rPr>
              <w:t>11</w:t>
            </w:r>
          </w:p>
        </w:tc>
        <w:tc>
          <w:tcPr>
            <w:tcW w:w="5816" w:type="dxa"/>
            <w:vAlign w:val="center"/>
          </w:tcPr>
          <w:p>
            <w:pPr>
              <w:widowControl/>
              <w:numPr>
                <w:ilvl w:val="0"/>
                <w:numId w:val="84"/>
              </w:numPr>
              <w:shd w:val="clear"/>
              <w:rPr>
                <w:rFonts w:hint="eastAsia" w:ascii="宋体" w:hAnsi="宋体" w:eastAsia="宋体" w:cs="宋体"/>
                <w:kern w:val="0"/>
                <w:szCs w:val="21"/>
                <w:highlight w:val="none"/>
              </w:rPr>
            </w:pPr>
            <w:r>
              <w:rPr>
                <w:rFonts w:hint="eastAsia" w:ascii="宋体" w:hAnsi="宋体" w:eastAsia="宋体" w:cs="宋体"/>
                <w:kern w:val="0"/>
                <w:szCs w:val="21"/>
                <w:highlight w:val="none"/>
              </w:rPr>
              <w:t>投标人2020</w:t>
            </w:r>
            <w:r>
              <w:rPr>
                <w:rFonts w:hint="eastAsia" w:ascii="宋体" w:hAnsi="宋体" w:eastAsia="宋体" w:cs="宋体"/>
                <w:kern w:val="0"/>
                <w:szCs w:val="21"/>
                <w:highlight w:val="none"/>
                <w:lang w:eastAsia="zh-Hans"/>
              </w:rPr>
              <w:t>年</w:t>
            </w:r>
            <w:r>
              <w:rPr>
                <w:rFonts w:hint="eastAsia" w:ascii="宋体" w:hAnsi="宋体" w:eastAsia="宋体" w:cs="宋体"/>
                <w:kern w:val="0"/>
                <w:szCs w:val="21"/>
                <w:highlight w:val="none"/>
              </w:rPr>
              <w:t>1月1日</w:t>
            </w:r>
            <w:r>
              <w:rPr>
                <w:rFonts w:hint="eastAsia" w:ascii="宋体" w:hAnsi="宋体" w:eastAsia="宋体" w:cs="宋体"/>
                <w:kern w:val="0"/>
                <w:szCs w:val="21"/>
                <w:highlight w:val="none"/>
                <w:lang w:eastAsia="zh-Hans"/>
              </w:rPr>
              <w:t>至</w:t>
            </w:r>
            <w:r>
              <w:rPr>
                <w:rFonts w:hint="eastAsia" w:ascii="宋体" w:hAnsi="宋体" w:eastAsia="宋体" w:cs="宋体"/>
                <w:kern w:val="0"/>
                <w:szCs w:val="21"/>
                <w:highlight w:val="none"/>
              </w:rPr>
              <w:t>今（以合同签订时间为准）</w:t>
            </w:r>
            <w:r>
              <w:rPr>
                <w:rFonts w:hint="eastAsia" w:ascii="宋体" w:hAnsi="宋体" w:eastAsia="宋体" w:cs="宋体"/>
                <w:kern w:val="0"/>
                <w:szCs w:val="21"/>
                <w:highlight w:val="none"/>
                <w:lang w:eastAsia="zh-Hans"/>
              </w:rPr>
              <w:t>曾</w:t>
            </w:r>
            <w:r>
              <w:rPr>
                <w:rFonts w:hint="eastAsia" w:ascii="宋体" w:hAnsi="宋体" w:eastAsia="宋体" w:cs="宋体"/>
                <w:kern w:val="0"/>
                <w:szCs w:val="21"/>
                <w:highlight w:val="none"/>
              </w:rPr>
              <w:t>承接物业类型为：综合体或商业、办公类物业管理业绩的，每提供一个得2分，本子项最高得6分；</w:t>
            </w:r>
          </w:p>
          <w:p>
            <w:pPr>
              <w:widowControl/>
              <w:numPr>
                <w:ilvl w:val="0"/>
                <w:numId w:val="84"/>
              </w:numPr>
              <w:shd w:val="clear"/>
              <w:rPr>
                <w:rFonts w:hint="eastAsia" w:ascii="宋体" w:hAnsi="宋体" w:eastAsia="宋体" w:cs="宋体"/>
                <w:kern w:val="0"/>
                <w:szCs w:val="21"/>
                <w:highlight w:val="none"/>
              </w:rPr>
            </w:pPr>
            <w:r>
              <w:rPr>
                <w:rFonts w:hint="eastAsia" w:ascii="宋体" w:hAnsi="宋体" w:eastAsia="宋体" w:cs="宋体"/>
                <w:kern w:val="0"/>
                <w:szCs w:val="21"/>
                <w:highlight w:val="none"/>
              </w:rPr>
              <w:t>以上业绩属于金融类、基金类特色小镇物业管理项目的，加5分。</w:t>
            </w:r>
          </w:p>
          <w:p>
            <w:pPr>
              <w:widowControl/>
              <w:shd w:val="clear"/>
              <w:rPr>
                <w:rFonts w:hint="eastAsia" w:ascii="宋体" w:hAnsi="宋体" w:eastAsia="宋体" w:cs="宋体"/>
                <w:szCs w:val="21"/>
                <w:highlight w:val="none"/>
              </w:rPr>
            </w:pPr>
            <w:r>
              <w:rPr>
                <w:rFonts w:hint="eastAsia" w:ascii="宋体" w:hAnsi="宋体" w:eastAsia="宋体" w:cs="宋体"/>
                <w:kern w:val="0"/>
                <w:szCs w:val="21"/>
                <w:highlight w:val="none"/>
              </w:rPr>
              <w:t>注</w:t>
            </w:r>
            <w:r>
              <w:rPr>
                <w:rFonts w:hint="eastAsia" w:ascii="宋体" w:hAnsi="宋体" w:cs="宋体"/>
                <w:kern w:val="0"/>
                <w:szCs w:val="21"/>
                <w:highlight w:val="none"/>
              </w:rPr>
              <w:t>：本项最高得11分。（1）</w:t>
            </w:r>
            <w:r>
              <w:rPr>
                <w:rFonts w:hint="eastAsia" w:ascii="宋体" w:hAnsi="宋体" w:eastAsia="宋体" w:cs="宋体"/>
                <w:kern w:val="0"/>
                <w:szCs w:val="21"/>
                <w:highlight w:val="none"/>
              </w:rPr>
              <w:t>须同时提供项目物业服务合同复印件及加盖用户公章的用户评价（须正面评价）作为证明材料。</w:t>
            </w:r>
            <w:r>
              <w:rPr>
                <w:rFonts w:hint="eastAsia" w:ascii="宋体" w:hAnsi="宋体" w:cs="宋体"/>
                <w:kern w:val="0"/>
                <w:szCs w:val="21"/>
                <w:highlight w:val="none"/>
              </w:rPr>
              <w:t>（2）</w:t>
            </w:r>
            <w:r>
              <w:rPr>
                <w:rFonts w:hint="eastAsia" w:ascii="宋体" w:hAnsi="宋体" w:eastAsia="宋体" w:cs="宋体"/>
                <w:kern w:val="0"/>
                <w:szCs w:val="21"/>
                <w:highlight w:val="none"/>
              </w:rPr>
              <w:t>属于金融类、基金类特色小镇的管理项目，除按上述要求提供项目物业服务合同证明材料外，还需提供①小镇相关介绍资料及省级（或以上）媒体与小镇相关的报道资料；②关于承接物业管理项目的证明文件（加盖小镇载体的物业经营方或小镇管委会或小镇相关政府管理机构公章）。</w:t>
            </w:r>
            <w:r>
              <w:rPr>
                <w:rFonts w:hint="eastAsia" w:ascii="宋体" w:hAnsi="宋体" w:cs="宋体"/>
                <w:kern w:val="0"/>
                <w:szCs w:val="21"/>
                <w:highlight w:val="none"/>
              </w:rPr>
              <w:t>（3）</w:t>
            </w:r>
            <w:r>
              <w:rPr>
                <w:rFonts w:hint="eastAsia" w:ascii="宋体" w:hAnsi="宋体" w:eastAsia="宋体" w:cs="宋体"/>
                <w:b/>
                <w:bCs/>
                <w:kern w:val="0"/>
                <w:szCs w:val="21"/>
                <w:highlight w:val="none"/>
              </w:rPr>
              <w:t>合同及证明文件原件核查</w:t>
            </w:r>
            <w:r>
              <w:rPr>
                <w:rFonts w:hint="eastAsia" w:ascii="宋体" w:hAnsi="宋体" w:eastAsia="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dxa"/>
            <w:vAlign w:val="center"/>
          </w:tcPr>
          <w:p>
            <w:pPr>
              <w:widowControl/>
              <w:numPr>
                <w:ilvl w:val="0"/>
                <w:numId w:val="81"/>
              </w:numPr>
              <w:shd w:val="clear"/>
              <w:tabs>
                <w:tab w:val="left" w:pos="210"/>
              </w:tabs>
              <w:jc w:val="center"/>
              <w:rPr>
                <w:rFonts w:hint="eastAsia" w:ascii="宋体" w:hAnsi="宋体" w:eastAsia="宋体" w:cs="宋体"/>
                <w:szCs w:val="21"/>
                <w:highlight w:val="none"/>
              </w:rPr>
            </w:pPr>
          </w:p>
        </w:tc>
        <w:tc>
          <w:tcPr>
            <w:tcW w:w="1712" w:type="dxa"/>
            <w:vAlign w:val="center"/>
          </w:tcPr>
          <w:p>
            <w:pPr>
              <w:widowControl/>
              <w:shd w:val="clear"/>
              <w:jc w:val="center"/>
              <w:rPr>
                <w:rFonts w:hint="eastAsia" w:ascii="宋体" w:hAnsi="宋体" w:eastAsia="宋体" w:cs="宋体"/>
                <w:szCs w:val="21"/>
                <w:highlight w:val="none"/>
              </w:rPr>
            </w:pPr>
            <w:r>
              <w:rPr>
                <w:rFonts w:hint="eastAsia" w:ascii="宋体" w:hAnsi="宋体" w:eastAsia="宋体" w:cs="宋体"/>
                <w:kern w:val="0"/>
                <w:szCs w:val="21"/>
                <w:highlight w:val="none"/>
              </w:rPr>
              <w:t>企业信用信息管理</w:t>
            </w:r>
          </w:p>
        </w:tc>
        <w:tc>
          <w:tcPr>
            <w:tcW w:w="960" w:type="dxa"/>
            <w:vAlign w:val="center"/>
          </w:tcPr>
          <w:p>
            <w:pPr>
              <w:shd w:val="clear"/>
              <w:wordWrap w:val="0"/>
              <w:jc w:val="center"/>
              <w:rPr>
                <w:rFonts w:hint="eastAsia" w:ascii="宋体" w:hAnsi="宋体" w:eastAsia="宋体" w:cs="宋体"/>
                <w:szCs w:val="21"/>
                <w:highlight w:val="none"/>
              </w:rPr>
            </w:pPr>
            <w:r>
              <w:rPr>
                <w:rFonts w:hint="eastAsia" w:ascii="宋体" w:hAnsi="宋体" w:eastAsia="宋体" w:cs="宋体"/>
                <w:szCs w:val="21"/>
                <w:highlight w:val="none"/>
              </w:rPr>
              <w:t>9</w:t>
            </w:r>
          </w:p>
        </w:tc>
        <w:tc>
          <w:tcPr>
            <w:tcW w:w="5816" w:type="dxa"/>
            <w:vAlign w:val="center"/>
          </w:tcPr>
          <w:p>
            <w:pPr>
              <w:widowControl/>
              <w:shd w:val="clear"/>
              <w:wordWrap w:val="0"/>
              <w:rPr>
                <w:rFonts w:hint="eastAsia" w:ascii="宋体" w:hAnsi="宋体" w:eastAsia="宋体" w:cs="宋体"/>
                <w:szCs w:val="21"/>
                <w:highlight w:val="none"/>
              </w:rPr>
            </w:pPr>
            <w:r>
              <w:rPr>
                <w:rFonts w:hint="eastAsia" w:ascii="宋体" w:hAnsi="宋体" w:eastAsia="宋体" w:cs="宋体"/>
                <w:kern w:val="0"/>
                <w:szCs w:val="21"/>
                <w:highlight w:val="none"/>
              </w:rPr>
              <w:t>投标人</w:t>
            </w:r>
            <w:r>
              <w:rPr>
                <w:rFonts w:hint="eastAsia" w:ascii="宋体" w:hAnsi="宋体" w:eastAsia="宋体" w:cs="宋体"/>
                <w:kern w:val="0"/>
                <w:szCs w:val="21"/>
                <w:highlight w:val="none"/>
                <w:lang w:eastAsia="zh-Hans"/>
              </w:rPr>
              <w:t>在“佛山市房地产行业信用信息管理平台</w:t>
            </w:r>
            <w:r>
              <w:rPr>
                <w:rFonts w:hint="eastAsia" w:ascii="宋体" w:hAnsi="宋体" w:eastAsia="宋体" w:cs="宋体"/>
                <w:kern w:val="0"/>
                <w:szCs w:val="21"/>
                <w:highlight w:val="none"/>
              </w:rPr>
              <w:t>”信用积分</w:t>
            </w:r>
            <w:r>
              <w:rPr>
                <w:rFonts w:hint="eastAsia" w:ascii="宋体" w:hAnsi="宋体" w:eastAsia="宋体" w:cs="宋体"/>
                <w:szCs w:val="21"/>
                <w:highlight w:val="none"/>
              </w:rPr>
              <w:t>（企业类型为物业公司）情况：</w:t>
            </w:r>
          </w:p>
          <w:p>
            <w:pPr>
              <w:widowControl/>
              <w:numPr>
                <w:ilvl w:val="0"/>
                <w:numId w:val="85"/>
              </w:numPr>
              <w:shd w:val="clear"/>
              <w:wordWrap w:val="0"/>
              <w:rPr>
                <w:rFonts w:hint="eastAsia" w:ascii="宋体" w:hAnsi="宋体" w:eastAsia="宋体" w:cs="宋体"/>
                <w:kern w:val="0"/>
                <w:szCs w:val="21"/>
                <w:highlight w:val="none"/>
              </w:rPr>
            </w:pPr>
            <w:r>
              <w:rPr>
                <w:rFonts w:hint="eastAsia" w:ascii="宋体" w:hAnsi="宋体" w:eastAsia="宋体" w:cs="宋体"/>
                <w:kern w:val="0"/>
                <w:szCs w:val="21"/>
                <w:highlight w:val="none"/>
              </w:rPr>
              <w:t>信用积分≥160的，得9分；</w:t>
            </w:r>
          </w:p>
          <w:p>
            <w:pPr>
              <w:widowControl/>
              <w:numPr>
                <w:ilvl w:val="0"/>
                <w:numId w:val="85"/>
              </w:numPr>
              <w:shd w:val="clear"/>
              <w:wordWrap w:val="0"/>
              <w:rPr>
                <w:rFonts w:hint="eastAsia" w:ascii="宋体" w:hAnsi="宋体" w:eastAsia="宋体" w:cs="宋体"/>
                <w:kern w:val="0"/>
                <w:szCs w:val="21"/>
                <w:highlight w:val="none"/>
              </w:rPr>
            </w:pPr>
            <w:r>
              <w:rPr>
                <w:rFonts w:hint="eastAsia" w:ascii="宋体" w:hAnsi="宋体" w:eastAsia="宋体" w:cs="宋体"/>
                <w:kern w:val="0"/>
                <w:szCs w:val="21"/>
                <w:highlight w:val="none"/>
              </w:rPr>
              <w:t>140≤信用积分＜160的，得6分；</w:t>
            </w:r>
          </w:p>
          <w:p>
            <w:pPr>
              <w:pStyle w:val="44"/>
              <w:numPr>
                <w:ilvl w:val="0"/>
                <w:numId w:val="85"/>
              </w:numPr>
              <w:shd w:val="clear"/>
              <w:wordWrap w:val="0"/>
              <w:ind w:firstLineChars="0"/>
              <w:rPr>
                <w:rFonts w:hint="eastAsia" w:ascii="宋体" w:hAnsi="宋体" w:eastAsia="宋体" w:cs="宋体"/>
                <w:kern w:val="0"/>
                <w:highlight w:val="none"/>
              </w:rPr>
            </w:pPr>
            <w:r>
              <w:rPr>
                <w:rFonts w:hint="eastAsia" w:ascii="宋体" w:hAnsi="宋体" w:eastAsia="宋体" w:cs="宋体"/>
                <w:kern w:val="0"/>
                <w:highlight w:val="none"/>
              </w:rPr>
              <w:t>120≤信用积分＜140的，得3分；</w:t>
            </w:r>
          </w:p>
          <w:p>
            <w:pPr>
              <w:pStyle w:val="44"/>
              <w:numPr>
                <w:ilvl w:val="0"/>
                <w:numId w:val="85"/>
              </w:numPr>
              <w:shd w:val="clear"/>
              <w:wordWrap w:val="0"/>
              <w:ind w:firstLineChars="0"/>
              <w:rPr>
                <w:rFonts w:hint="eastAsia" w:ascii="宋体" w:hAnsi="宋体" w:eastAsia="宋体" w:cs="宋体"/>
                <w:highlight w:val="none"/>
              </w:rPr>
            </w:pPr>
            <w:r>
              <w:rPr>
                <w:rFonts w:hint="eastAsia" w:ascii="宋体" w:hAnsi="宋体" w:eastAsia="宋体" w:cs="宋体"/>
                <w:kern w:val="0"/>
                <w:highlight w:val="none"/>
              </w:rPr>
              <w:t>100≤信用积分＜120的，得0.5分。</w:t>
            </w:r>
          </w:p>
          <w:p>
            <w:pPr>
              <w:widowControl/>
              <w:shd w:val="clear"/>
              <w:wordWrap w:val="0"/>
              <w:rPr>
                <w:rFonts w:hint="eastAsia" w:ascii="宋体" w:hAnsi="宋体" w:eastAsia="宋体" w:cs="宋体"/>
                <w:szCs w:val="21"/>
                <w:highlight w:val="none"/>
              </w:rPr>
            </w:pPr>
            <w:r>
              <w:rPr>
                <w:rFonts w:hint="eastAsia" w:ascii="宋体" w:hAnsi="宋体" w:eastAsia="宋体" w:cs="宋体"/>
                <w:kern w:val="0"/>
                <w:szCs w:val="21"/>
                <w:highlight w:val="none"/>
              </w:rPr>
              <w:t>注：</w:t>
            </w:r>
            <w:r>
              <w:rPr>
                <w:rFonts w:hint="eastAsia" w:ascii="宋体" w:hAnsi="宋体" w:cs="宋体"/>
                <w:kern w:val="0"/>
                <w:szCs w:val="21"/>
                <w:highlight w:val="none"/>
              </w:rPr>
              <w:t>本项最高得9分。</w:t>
            </w:r>
            <w:r>
              <w:rPr>
                <w:rFonts w:hint="eastAsia" w:ascii="宋体" w:hAnsi="宋体" w:eastAsia="宋体" w:cs="宋体"/>
                <w:kern w:val="0"/>
                <w:szCs w:val="21"/>
                <w:highlight w:val="none"/>
              </w:rPr>
              <w:t>须提供官方网页（https://fwjy.fszj.foshan.gov.cn/foshan/home/#/）查询结果截图作为证明材料，</w:t>
            </w:r>
            <w:r>
              <w:rPr>
                <w:rFonts w:hint="eastAsia" w:ascii="宋体" w:hAnsi="宋体" w:cs="宋体"/>
                <w:szCs w:val="21"/>
                <w:highlight w:val="none"/>
              </w:rPr>
              <w:t>最终以代理机构投标截止日当天通过相关系统核查的结论为准</w:t>
            </w:r>
            <w:r>
              <w:rPr>
                <w:rFonts w:hint="eastAsia" w:ascii="宋体" w:hAnsi="宋体" w:eastAsia="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74" w:hRule="atLeast"/>
          <w:jc w:val="center"/>
        </w:trPr>
        <w:tc>
          <w:tcPr>
            <w:tcW w:w="838" w:type="dxa"/>
            <w:vAlign w:val="center"/>
          </w:tcPr>
          <w:p>
            <w:pPr>
              <w:widowControl/>
              <w:numPr>
                <w:ilvl w:val="0"/>
                <w:numId w:val="81"/>
              </w:numPr>
              <w:shd w:val="clear"/>
              <w:jc w:val="center"/>
              <w:rPr>
                <w:rFonts w:hint="eastAsia" w:ascii="宋体" w:hAnsi="宋体" w:eastAsia="宋体" w:cs="宋体"/>
                <w:szCs w:val="21"/>
                <w:highlight w:val="none"/>
              </w:rPr>
            </w:pPr>
          </w:p>
        </w:tc>
        <w:tc>
          <w:tcPr>
            <w:tcW w:w="1712" w:type="dxa"/>
            <w:vAlign w:val="center"/>
          </w:tcPr>
          <w:p>
            <w:pPr>
              <w:widowControl/>
              <w:shd w:val="clear"/>
              <w:jc w:val="center"/>
              <w:rPr>
                <w:rFonts w:hint="eastAsia" w:ascii="宋体" w:hAnsi="宋体" w:eastAsia="宋体" w:cs="宋体"/>
                <w:szCs w:val="21"/>
                <w:highlight w:val="none"/>
              </w:rPr>
            </w:pPr>
            <w:r>
              <w:rPr>
                <w:rFonts w:hint="eastAsia" w:ascii="宋体" w:hAnsi="宋体" w:eastAsia="宋体" w:cs="宋体"/>
                <w:kern w:val="0"/>
                <w:szCs w:val="21"/>
                <w:highlight w:val="none"/>
              </w:rPr>
              <w:t>企业荣誉</w:t>
            </w:r>
          </w:p>
        </w:tc>
        <w:tc>
          <w:tcPr>
            <w:tcW w:w="960" w:type="dxa"/>
            <w:vAlign w:val="center"/>
          </w:tcPr>
          <w:p>
            <w:pPr>
              <w:widowControl/>
              <w:shd w:val="clear"/>
              <w:jc w:val="center"/>
              <w:rPr>
                <w:rFonts w:hint="eastAsia" w:ascii="宋体" w:hAnsi="宋体" w:eastAsia="宋体" w:cs="宋体"/>
                <w:szCs w:val="21"/>
                <w:highlight w:val="none"/>
              </w:rPr>
            </w:pPr>
            <w:r>
              <w:rPr>
                <w:rFonts w:hint="eastAsia" w:ascii="宋体" w:hAnsi="宋体" w:eastAsia="宋体" w:cs="宋体"/>
                <w:szCs w:val="21"/>
                <w:highlight w:val="none"/>
              </w:rPr>
              <w:t>9</w:t>
            </w:r>
          </w:p>
        </w:tc>
        <w:tc>
          <w:tcPr>
            <w:tcW w:w="5816" w:type="dxa"/>
            <w:vAlign w:val="center"/>
          </w:tcPr>
          <w:p>
            <w:pPr>
              <w:widowControl/>
              <w:shd w:val="clear"/>
              <w:rPr>
                <w:rFonts w:hint="eastAsia" w:ascii="宋体" w:hAnsi="宋体" w:eastAsia="宋体" w:cs="宋体"/>
                <w:kern w:val="0"/>
                <w:szCs w:val="21"/>
                <w:highlight w:val="none"/>
              </w:rPr>
            </w:pPr>
            <w:r>
              <w:rPr>
                <w:rFonts w:hint="eastAsia" w:ascii="宋体" w:hAnsi="宋体" w:eastAsia="宋体" w:cs="宋体"/>
                <w:kern w:val="0"/>
                <w:szCs w:val="21"/>
                <w:highlight w:val="none"/>
              </w:rPr>
              <w:t>投标人管理</w:t>
            </w:r>
            <w:r>
              <w:rPr>
                <w:rFonts w:hint="eastAsia" w:ascii="宋体" w:hAnsi="宋体" w:eastAsia="宋体" w:cs="宋体"/>
                <w:kern w:val="0"/>
                <w:szCs w:val="21"/>
                <w:highlight w:val="none"/>
                <w:lang w:eastAsia="zh-Hans"/>
              </w:rPr>
              <w:t>的</w:t>
            </w:r>
            <w:r>
              <w:rPr>
                <w:rFonts w:hint="eastAsia" w:ascii="宋体" w:hAnsi="宋体" w:eastAsia="宋体" w:cs="宋体"/>
                <w:kern w:val="0"/>
                <w:szCs w:val="21"/>
                <w:highlight w:val="none"/>
              </w:rPr>
              <w:t>物业</w:t>
            </w:r>
            <w:r>
              <w:rPr>
                <w:rFonts w:hint="eastAsia" w:ascii="宋体" w:hAnsi="宋体" w:eastAsia="宋体" w:cs="宋体"/>
                <w:kern w:val="0"/>
                <w:szCs w:val="21"/>
                <w:highlight w:val="none"/>
                <w:lang w:eastAsia="zh-Hans"/>
              </w:rPr>
              <w:t>管理</w:t>
            </w:r>
            <w:r>
              <w:rPr>
                <w:rFonts w:hint="eastAsia" w:ascii="宋体" w:hAnsi="宋体" w:eastAsia="宋体" w:cs="宋体"/>
                <w:kern w:val="0"/>
                <w:szCs w:val="21"/>
                <w:highlight w:val="none"/>
              </w:rPr>
              <w:t>项目获奖情况：</w:t>
            </w:r>
          </w:p>
          <w:p>
            <w:pPr>
              <w:widowControl/>
              <w:numPr>
                <w:ilvl w:val="0"/>
                <w:numId w:val="86"/>
              </w:numPr>
              <w:shd w:val="clear"/>
              <w:rPr>
                <w:rFonts w:hint="eastAsia" w:ascii="宋体" w:hAnsi="宋体" w:eastAsia="宋体" w:cs="宋体"/>
                <w:kern w:val="0"/>
                <w:szCs w:val="21"/>
                <w:highlight w:val="none"/>
              </w:rPr>
            </w:pPr>
            <w:r>
              <w:rPr>
                <w:rFonts w:hint="eastAsia" w:ascii="宋体" w:hAnsi="宋体" w:eastAsia="宋体" w:cs="宋体"/>
                <w:kern w:val="0"/>
                <w:szCs w:val="21"/>
                <w:highlight w:val="none"/>
              </w:rPr>
              <w:t>曾获得市级荣誉，每提供1个得1分，本子项最高得3分；</w:t>
            </w:r>
          </w:p>
          <w:p>
            <w:pPr>
              <w:widowControl/>
              <w:numPr>
                <w:ilvl w:val="0"/>
                <w:numId w:val="86"/>
              </w:numPr>
              <w:shd w:val="clear"/>
              <w:rPr>
                <w:rFonts w:hint="eastAsia" w:ascii="宋体" w:hAnsi="宋体" w:eastAsia="宋体" w:cs="宋体"/>
                <w:kern w:val="0"/>
                <w:szCs w:val="21"/>
                <w:highlight w:val="none"/>
              </w:rPr>
            </w:pPr>
            <w:r>
              <w:rPr>
                <w:rFonts w:hint="eastAsia" w:ascii="宋体" w:hAnsi="宋体" w:eastAsia="宋体" w:cs="宋体"/>
                <w:kern w:val="0"/>
                <w:szCs w:val="21"/>
                <w:highlight w:val="none"/>
              </w:rPr>
              <w:t>曾获得省级或以上荣誉的，每提供1个得2分，本子项最高得6分。</w:t>
            </w:r>
          </w:p>
          <w:p>
            <w:pPr>
              <w:widowControl/>
              <w:shd w:val="clear"/>
              <w:rPr>
                <w:rFonts w:hint="eastAsia" w:ascii="宋体" w:hAnsi="宋体" w:eastAsia="宋体" w:cs="宋体"/>
                <w:szCs w:val="21"/>
                <w:highlight w:val="none"/>
                <w:lang w:val="zh-CN"/>
              </w:rPr>
            </w:pPr>
            <w:r>
              <w:rPr>
                <w:rFonts w:hint="eastAsia" w:ascii="宋体" w:hAnsi="宋体" w:eastAsia="宋体" w:cs="宋体"/>
                <w:kern w:val="0"/>
                <w:szCs w:val="21"/>
                <w:highlight w:val="none"/>
              </w:rPr>
              <w:t>注：</w:t>
            </w:r>
            <w:r>
              <w:rPr>
                <w:rFonts w:hint="eastAsia" w:ascii="宋体" w:hAnsi="宋体" w:eastAsia="宋体" w:cs="宋体"/>
                <w:szCs w:val="21"/>
                <w:highlight w:val="none"/>
              </w:rPr>
              <w:t>本项最高得9分。</w:t>
            </w:r>
            <w:r>
              <w:rPr>
                <w:rFonts w:hint="eastAsia" w:ascii="宋体" w:hAnsi="宋体" w:cs="宋体"/>
                <w:kern w:val="0"/>
                <w:szCs w:val="21"/>
                <w:highlight w:val="none"/>
              </w:rPr>
              <w:t>（1）</w:t>
            </w:r>
            <w:r>
              <w:rPr>
                <w:rFonts w:hint="eastAsia" w:ascii="宋体" w:hAnsi="宋体" w:eastAsia="宋体" w:cs="宋体"/>
                <w:szCs w:val="21"/>
                <w:highlight w:val="none"/>
              </w:rPr>
              <w:t>同一项目按最高级别计算得分，不重复得分。</w:t>
            </w:r>
            <w:r>
              <w:rPr>
                <w:rFonts w:hint="eastAsia" w:ascii="宋体" w:hAnsi="宋体" w:cs="宋体"/>
                <w:kern w:val="0"/>
                <w:szCs w:val="21"/>
                <w:highlight w:val="none"/>
              </w:rPr>
              <w:t>（2）</w:t>
            </w:r>
            <w:r>
              <w:rPr>
                <w:rFonts w:hint="eastAsia" w:ascii="宋体" w:hAnsi="宋体" w:eastAsia="宋体" w:cs="宋体"/>
                <w:kern w:val="0"/>
                <w:szCs w:val="21"/>
                <w:highlight w:val="none"/>
              </w:rPr>
              <w:t>须提供证书复印件作为证明材料，不提供不得分。</w:t>
            </w:r>
            <w:r>
              <w:rPr>
                <w:rFonts w:hint="eastAsia" w:ascii="宋体" w:hAnsi="宋体" w:eastAsia="宋体" w:cs="宋体"/>
                <w:b/>
                <w:bCs/>
                <w:kern w:val="0"/>
                <w:szCs w:val="21"/>
                <w:highlight w:val="none"/>
              </w:rPr>
              <w:t>证书原件核查。</w:t>
            </w:r>
          </w:p>
        </w:tc>
      </w:tr>
    </w:tbl>
    <w:p>
      <w:pPr>
        <w:shd w:val="clear"/>
        <w:snapToGrid w:val="0"/>
        <w:spacing w:line="360" w:lineRule="auto"/>
        <w:ind w:left="210" w:leftChars="100"/>
        <w:rPr>
          <w:rFonts w:ascii="宋体" w:hAnsi="宋体" w:cs="宋体"/>
          <w:snapToGrid w:val="0"/>
          <w:kern w:val="0"/>
          <w:szCs w:val="21"/>
          <w:highlight w:val="none"/>
        </w:rPr>
      </w:pPr>
      <w:r>
        <w:rPr>
          <w:rFonts w:hint="eastAsia" w:ascii="宋体" w:hAnsi="宋体" w:cs="宋体"/>
          <w:snapToGrid w:val="0"/>
          <w:kern w:val="0"/>
          <w:szCs w:val="21"/>
          <w:highlight w:val="none"/>
        </w:rPr>
        <w:t>备注：</w:t>
      </w:r>
    </w:p>
    <w:p>
      <w:pPr>
        <w:numPr>
          <w:ilvl w:val="0"/>
          <w:numId w:val="87"/>
        </w:numPr>
        <w:shd w:val="clear"/>
        <w:snapToGrid w:val="0"/>
        <w:spacing w:line="360" w:lineRule="auto"/>
        <w:rPr>
          <w:rFonts w:ascii="宋体" w:hAnsi="宋体" w:cs="宋体"/>
          <w:bCs/>
          <w:szCs w:val="21"/>
          <w:highlight w:val="none"/>
        </w:rPr>
      </w:pPr>
      <w:r>
        <w:rPr>
          <w:rFonts w:hint="eastAsia" w:ascii="宋体" w:hAnsi="宋体" w:cs="宋体"/>
          <w:bCs/>
          <w:szCs w:val="21"/>
          <w:highlight w:val="none"/>
        </w:rPr>
        <w:t>招标文件要求提交的与评价指标体系相关的各类有效资料，投标人如未按要求提交的，该项评分为零分。</w:t>
      </w:r>
    </w:p>
    <w:p>
      <w:pPr>
        <w:numPr>
          <w:ilvl w:val="0"/>
          <w:numId w:val="87"/>
        </w:numPr>
        <w:shd w:val="clear"/>
        <w:snapToGrid w:val="0"/>
        <w:spacing w:line="360" w:lineRule="auto"/>
        <w:rPr>
          <w:rFonts w:ascii="宋体" w:hAnsi="宋体" w:cs="宋体"/>
          <w:bCs/>
          <w:szCs w:val="21"/>
          <w:highlight w:val="none"/>
        </w:rPr>
      </w:pPr>
      <w:r>
        <w:rPr>
          <w:rFonts w:hint="eastAsia" w:ascii="宋体" w:hAnsi="宋体" w:cs="宋体"/>
          <w:bCs/>
          <w:szCs w:val="21"/>
          <w:highlight w:val="none"/>
        </w:rPr>
        <w:t>商务评分：所有评委评分分值的算术平均值（四舍五入后，</w:t>
      </w:r>
      <w:r>
        <w:rPr>
          <w:rFonts w:hint="eastAsia" w:ascii="宋体" w:hAnsi="宋体" w:cs="宋体"/>
          <w:szCs w:val="21"/>
          <w:highlight w:val="none"/>
        </w:rPr>
        <w:t>小数点后保留两位有效数</w:t>
      </w:r>
      <w:r>
        <w:rPr>
          <w:rFonts w:hint="eastAsia" w:ascii="宋体" w:hAnsi="宋体" w:cs="宋体"/>
          <w:bCs/>
          <w:szCs w:val="21"/>
          <w:highlight w:val="none"/>
        </w:rPr>
        <w:t>）。</w:t>
      </w:r>
    </w:p>
    <w:p>
      <w:pPr>
        <w:numPr>
          <w:ilvl w:val="0"/>
          <w:numId w:val="87"/>
        </w:numPr>
        <w:shd w:val="clear"/>
        <w:snapToGrid w:val="0"/>
        <w:spacing w:line="360" w:lineRule="auto"/>
        <w:rPr>
          <w:rFonts w:ascii="宋体" w:hAnsi="宋体" w:cs="宋体"/>
          <w:szCs w:val="21"/>
          <w:highlight w:val="none"/>
        </w:rPr>
      </w:pPr>
      <w:r>
        <w:rPr>
          <w:rFonts w:hint="eastAsia" w:ascii="宋体" w:hAnsi="宋体"/>
          <w:bCs/>
          <w:highlight w:val="none"/>
        </w:rPr>
        <w:t>评审内容中所要求提交“原件”的应独立封装，并内附“资料原件提交清单”（详见第七章投标文件格式），评标结束当日退回，如未提供原件的，该项评分为0分。“资料原件提交清单”请按要求提交，如因未提交产生的不利影响，由投标人自行承担。</w:t>
      </w:r>
    </w:p>
    <w:p>
      <w:pPr>
        <w:shd w:val="clear"/>
        <w:rPr>
          <w:rFonts w:ascii="宋体" w:hAnsi="宋体" w:cs="宋体"/>
          <w:szCs w:val="21"/>
          <w:highlight w:val="none"/>
        </w:rPr>
      </w:pPr>
      <w:r>
        <w:rPr>
          <w:rFonts w:hint="eastAsia" w:ascii="宋体" w:hAnsi="宋体" w:cs="宋体"/>
          <w:szCs w:val="21"/>
          <w:highlight w:val="none"/>
        </w:rPr>
        <w:br w:type="page"/>
      </w:r>
    </w:p>
    <w:p>
      <w:pPr>
        <w:shd w:val="clear"/>
        <w:adjustRightInd w:val="0"/>
        <w:snapToGrid w:val="0"/>
        <w:spacing w:before="156" w:beforeLines="50" w:after="156" w:afterLines="50" w:line="360" w:lineRule="auto"/>
        <w:jc w:val="center"/>
        <w:rPr>
          <w:rFonts w:ascii="黑体" w:hAnsi="宋体" w:eastAsia="黑体" w:cs="宋体"/>
          <w:sz w:val="28"/>
          <w:szCs w:val="28"/>
          <w:highlight w:val="none"/>
        </w:rPr>
      </w:pPr>
      <w:r>
        <w:rPr>
          <w:rFonts w:hint="eastAsia" w:ascii="黑体" w:hAnsi="宋体" w:eastAsia="黑体" w:cs="宋体"/>
          <w:sz w:val="28"/>
          <w:szCs w:val="28"/>
          <w:highlight w:val="none"/>
        </w:rPr>
        <w:t>价 格 评 分 表</w:t>
      </w:r>
    </w:p>
    <w:p>
      <w:pPr>
        <w:shd w:val="clear"/>
        <w:adjustRightInd w:val="0"/>
        <w:snapToGrid w:val="0"/>
        <w:spacing w:before="156" w:beforeLines="50" w:after="156" w:afterLines="50" w:line="360" w:lineRule="auto"/>
        <w:jc w:val="center"/>
        <w:rPr>
          <w:rFonts w:ascii="黑体" w:hAnsi="宋体" w:eastAsia="黑体" w:cs="宋体"/>
          <w:sz w:val="28"/>
          <w:szCs w:val="28"/>
          <w:highlight w:val="none"/>
        </w:rPr>
      </w:pPr>
      <w:r>
        <w:rPr>
          <w:rFonts w:hint="eastAsia" w:ascii="黑体" w:hAnsi="宋体" w:eastAsia="黑体" w:cs="宋体"/>
          <w:sz w:val="28"/>
          <w:szCs w:val="28"/>
          <w:highlight w:val="none"/>
        </w:rPr>
        <w:t>（10分）</w:t>
      </w:r>
    </w:p>
    <w:p>
      <w:pPr>
        <w:numPr>
          <w:ilvl w:val="0"/>
          <w:numId w:val="88"/>
        </w:numPr>
        <w:shd w:val="clear"/>
        <w:snapToGrid w:val="0"/>
        <w:spacing w:line="360" w:lineRule="auto"/>
        <w:rPr>
          <w:rFonts w:ascii="宋体" w:hAnsi="宋体" w:cs="宋体"/>
          <w:bCs/>
          <w:szCs w:val="21"/>
          <w:highlight w:val="none"/>
        </w:rPr>
      </w:pPr>
      <w:r>
        <w:rPr>
          <w:rFonts w:hint="eastAsia" w:ascii="宋体" w:hAnsi="宋体" w:cs="宋体"/>
          <w:bCs/>
          <w:szCs w:val="21"/>
          <w:highlight w:val="none"/>
        </w:rPr>
        <w:t>价格核准：评标委员会详细分析、核准价格表，检查其是否存在计算上或累加上的算术错误，修正错误的原则详见第五章相关条款。</w:t>
      </w:r>
    </w:p>
    <w:p>
      <w:pPr>
        <w:numPr>
          <w:ilvl w:val="0"/>
          <w:numId w:val="88"/>
        </w:numPr>
        <w:shd w:val="clear"/>
        <w:snapToGrid w:val="0"/>
        <w:spacing w:line="360" w:lineRule="auto"/>
        <w:rPr>
          <w:rFonts w:ascii="宋体" w:hAnsi="宋体" w:cs="宋体"/>
          <w:bCs/>
          <w:szCs w:val="21"/>
          <w:highlight w:val="none"/>
        </w:rPr>
      </w:pPr>
      <w:r>
        <w:rPr>
          <w:rFonts w:hint="eastAsia" w:ascii="宋体" w:hAnsi="宋体" w:cs="宋体"/>
          <w:bCs/>
          <w:szCs w:val="21"/>
          <w:highlight w:val="none"/>
        </w:rPr>
        <w:t>综合评分法中的价格分统一采用低价优先法计算，即满足招标文件要求（通过资格性、符合性审查）且投标价格最低的有效投标报价（指修正后报价，下同）为评标基准价，其价格分为满分。其他投标人的价格分统一按照下列公式计算：</w:t>
      </w:r>
    </w:p>
    <w:p>
      <w:pPr>
        <w:shd w:val="clear"/>
        <w:snapToGrid w:val="0"/>
        <w:spacing w:line="360" w:lineRule="auto"/>
        <w:ind w:firstLine="413" w:firstLineChars="196"/>
        <w:rPr>
          <w:rFonts w:ascii="宋体" w:hAnsi="宋体" w:cs="宋体"/>
          <w:b/>
          <w:bCs/>
          <w:szCs w:val="21"/>
          <w:highlight w:val="none"/>
        </w:rPr>
      </w:pPr>
      <w:r>
        <w:rPr>
          <w:rFonts w:hint="eastAsia" w:ascii="宋体" w:hAnsi="宋体" w:cs="宋体"/>
          <w:b/>
          <w:bCs/>
          <w:szCs w:val="21"/>
          <w:highlight w:val="none"/>
        </w:rPr>
        <w:t>投标报价得分=(评标基准价/投标报价)×价格权值×100</w:t>
      </w:r>
    </w:p>
    <w:p>
      <w:pPr>
        <w:shd w:val="clear"/>
        <w:spacing w:line="360" w:lineRule="auto"/>
        <w:ind w:left="588"/>
        <w:rPr>
          <w:rFonts w:ascii="宋体" w:hAnsi="宋体" w:cs="宋体"/>
          <w:b/>
          <w:szCs w:val="21"/>
          <w:highlight w:val="none"/>
        </w:rPr>
        <w:sectPr>
          <w:pgSz w:w="11906" w:h="16838"/>
          <w:pgMar w:top="1440" w:right="1286" w:bottom="1440" w:left="1440" w:header="851" w:footer="992" w:gutter="0"/>
          <w:cols w:space="720" w:num="1"/>
          <w:docGrid w:type="lines" w:linePitch="312" w:charSpace="0"/>
        </w:sectPr>
      </w:pPr>
    </w:p>
    <w:p>
      <w:pPr>
        <w:shd w:val="clear"/>
        <w:snapToGrid w:val="0"/>
        <w:spacing w:line="360" w:lineRule="auto"/>
        <w:jc w:val="center"/>
        <w:outlineLvl w:val="0"/>
        <w:rPr>
          <w:rFonts w:ascii="宋体" w:hAnsi="宋体" w:cs="宋体"/>
          <w:b/>
          <w:bCs/>
          <w:szCs w:val="21"/>
          <w:highlight w:val="none"/>
        </w:rPr>
      </w:pPr>
      <w:bookmarkStart w:id="4" w:name="_Toc355879665"/>
    </w:p>
    <w:p>
      <w:pPr>
        <w:shd w:val="clear"/>
        <w:snapToGrid w:val="0"/>
        <w:spacing w:line="360" w:lineRule="auto"/>
        <w:jc w:val="center"/>
        <w:outlineLvl w:val="0"/>
        <w:rPr>
          <w:rFonts w:ascii="宋体" w:hAnsi="宋体" w:cs="宋体"/>
          <w:b/>
          <w:bCs/>
          <w:szCs w:val="21"/>
          <w:highlight w:val="none"/>
        </w:rPr>
      </w:pPr>
    </w:p>
    <w:p>
      <w:pPr>
        <w:shd w:val="clear"/>
        <w:snapToGrid w:val="0"/>
        <w:spacing w:line="360" w:lineRule="auto"/>
        <w:jc w:val="center"/>
        <w:outlineLvl w:val="0"/>
        <w:rPr>
          <w:rFonts w:ascii="宋体" w:hAnsi="宋体" w:cs="宋体"/>
          <w:b/>
          <w:bCs/>
          <w:szCs w:val="21"/>
          <w:highlight w:val="none"/>
        </w:rPr>
      </w:pPr>
    </w:p>
    <w:p>
      <w:pPr>
        <w:shd w:val="clear"/>
        <w:snapToGrid w:val="0"/>
        <w:spacing w:line="360" w:lineRule="auto"/>
        <w:jc w:val="center"/>
        <w:outlineLvl w:val="0"/>
        <w:rPr>
          <w:rFonts w:ascii="宋体" w:hAnsi="宋体" w:cs="宋体"/>
          <w:b/>
          <w:bCs/>
          <w:szCs w:val="21"/>
          <w:highlight w:val="none"/>
        </w:rPr>
      </w:pPr>
    </w:p>
    <w:p>
      <w:pPr>
        <w:pStyle w:val="4"/>
        <w:shd w:val="clear"/>
        <w:rPr>
          <w:rFonts w:ascii="宋体" w:hAnsi="宋体" w:cs="宋体"/>
          <w:sz w:val="21"/>
          <w:szCs w:val="21"/>
          <w:highlight w:val="none"/>
        </w:rPr>
      </w:pPr>
    </w:p>
    <w:p>
      <w:pPr>
        <w:shd w:val="clear"/>
        <w:rPr>
          <w:rFonts w:ascii="宋体" w:hAnsi="宋体" w:cs="宋体"/>
          <w:b/>
          <w:bCs/>
          <w:szCs w:val="21"/>
          <w:highlight w:val="none"/>
        </w:rPr>
      </w:pPr>
    </w:p>
    <w:p>
      <w:pPr>
        <w:pStyle w:val="4"/>
        <w:shd w:val="clear"/>
        <w:rPr>
          <w:rFonts w:ascii="宋体" w:hAnsi="宋体" w:cs="宋体"/>
          <w:sz w:val="21"/>
          <w:szCs w:val="21"/>
          <w:highlight w:val="none"/>
        </w:rPr>
      </w:pPr>
    </w:p>
    <w:p>
      <w:pPr>
        <w:shd w:val="clear"/>
        <w:rPr>
          <w:rFonts w:ascii="宋体" w:hAnsi="宋体" w:cs="宋体"/>
          <w:b/>
          <w:bCs/>
          <w:szCs w:val="21"/>
          <w:highlight w:val="none"/>
        </w:rPr>
      </w:pPr>
    </w:p>
    <w:p>
      <w:pPr>
        <w:pStyle w:val="4"/>
        <w:shd w:val="clear"/>
        <w:rPr>
          <w:rFonts w:ascii="宋体" w:hAnsi="宋体" w:cs="宋体"/>
          <w:sz w:val="21"/>
          <w:szCs w:val="21"/>
          <w:highlight w:val="none"/>
        </w:rPr>
      </w:pPr>
    </w:p>
    <w:p>
      <w:pPr>
        <w:shd w:val="clear"/>
        <w:rPr>
          <w:rFonts w:ascii="宋体" w:hAnsi="宋体" w:cs="宋体"/>
          <w:b/>
          <w:bCs/>
          <w:szCs w:val="21"/>
          <w:highlight w:val="none"/>
        </w:rPr>
      </w:pPr>
    </w:p>
    <w:p>
      <w:pPr>
        <w:pStyle w:val="4"/>
        <w:shd w:val="clear"/>
        <w:rPr>
          <w:rFonts w:ascii="宋体" w:hAnsi="宋体" w:cs="宋体"/>
          <w:sz w:val="21"/>
          <w:szCs w:val="21"/>
          <w:highlight w:val="none"/>
        </w:rPr>
      </w:pPr>
    </w:p>
    <w:p>
      <w:pPr>
        <w:shd w:val="clear"/>
        <w:rPr>
          <w:highlight w:val="none"/>
        </w:rPr>
      </w:pPr>
    </w:p>
    <w:p>
      <w:pPr>
        <w:shd w:val="clear"/>
        <w:snapToGrid w:val="0"/>
        <w:spacing w:line="360" w:lineRule="auto"/>
        <w:jc w:val="center"/>
        <w:outlineLvl w:val="0"/>
        <w:rPr>
          <w:rFonts w:ascii="Times New Roman" w:hAnsi="Times New Roman"/>
          <w:b/>
          <w:bCs/>
          <w:sz w:val="44"/>
          <w:szCs w:val="44"/>
          <w:highlight w:val="none"/>
        </w:rPr>
      </w:pPr>
    </w:p>
    <w:p>
      <w:pPr>
        <w:shd w:val="clear"/>
        <w:snapToGrid w:val="0"/>
        <w:spacing w:line="360" w:lineRule="auto"/>
        <w:jc w:val="center"/>
        <w:outlineLvl w:val="0"/>
        <w:rPr>
          <w:rFonts w:ascii="Times New Roman" w:hAnsi="Times New Roman"/>
          <w:b/>
          <w:bCs/>
          <w:sz w:val="44"/>
          <w:szCs w:val="44"/>
          <w:highlight w:val="none"/>
        </w:rPr>
      </w:pPr>
      <w:bookmarkStart w:id="5" w:name="_Toc15031"/>
      <w:r>
        <w:rPr>
          <w:rFonts w:hint="eastAsia" w:ascii="Times New Roman" w:hAnsi="Times New Roman"/>
          <w:b/>
          <w:bCs/>
          <w:sz w:val="44"/>
          <w:szCs w:val="44"/>
          <w:highlight w:val="none"/>
        </w:rPr>
        <w:t>第五章</w:t>
      </w:r>
      <w:bookmarkEnd w:id="4"/>
      <w:bookmarkEnd w:id="5"/>
    </w:p>
    <w:p>
      <w:pPr>
        <w:shd w:val="clear"/>
        <w:snapToGrid w:val="0"/>
        <w:spacing w:line="360" w:lineRule="auto"/>
        <w:jc w:val="center"/>
        <w:outlineLvl w:val="0"/>
        <w:rPr>
          <w:rFonts w:ascii="Times New Roman" w:hAnsi="Times New Roman"/>
          <w:b/>
          <w:bCs/>
          <w:sz w:val="44"/>
          <w:szCs w:val="44"/>
          <w:highlight w:val="none"/>
        </w:rPr>
      </w:pPr>
      <w:bookmarkStart w:id="6" w:name="_Toc355879666"/>
      <w:bookmarkStart w:id="7" w:name="_Toc9564"/>
      <w:bookmarkStart w:id="8" w:name="_Toc5615"/>
      <w:r>
        <w:rPr>
          <w:rFonts w:hint="eastAsia" w:ascii="Times New Roman" w:hAnsi="Times New Roman"/>
          <w:b/>
          <w:bCs/>
          <w:sz w:val="44"/>
          <w:szCs w:val="44"/>
          <w:highlight w:val="none"/>
        </w:rPr>
        <w:t>投 标 人 须 知</w:t>
      </w:r>
      <w:bookmarkEnd w:id="6"/>
      <w:bookmarkEnd w:id="7"/>
      <w:bookmarkEnd w:id="8"/>
    </w:p>
    <w:p>
      <w:pPr>
        <w:numPr>
          <w:ilvl w:val="0"/>
          <w:numId w:val="89"/>
        </w:numPr>
        <w:shd w:val="clear"/>
        <w:snapToGrid w:val="0"/>
        <w:spacing w:line="360" w:lineRule="auto"/>
        <w:jc w:val="center"/>
        <w:outlineLvl w:val="0"/>
        <w:rPr>
          <w:rFonts w:ascii="宋体" w:hAnsi="宋体" w:cs="宋体"/>
          <w:b/>
          <w:szCs w:val="21"/>
          <w:highlight w:val="none"/>
        </w:rPr>
      </w:pPr>
      <w:r>
        <w:rPr>
          <w:rFonts w:hint="eastAsia" w:ascii="Times New Roman" w:hAnsi="Times New Roman"/>
          <w:b/>
          <w:bCs/>
          <w:sz w:val="44"/>
          <w:szCs w:val="44"/>
          <w:highlight w:val="none"/>
        </w:rPr>
        <w:br w:type="page"/>
      </w:r>
      <w:bookmarkStart w:id="9" w:name="_Toc2872"/>
      <w:bookmarkStart w:id="10" w:name="_Toc24513"/>
      <w:bookmarkStart w:id="11" w:name="_Toc410722638"/>
      <w:bookmarkStart w:id="12" w:name="_Toc355879667"/>
      <w:bookmarkStart w:id="13" w:name="_Toc32312722"/>
      <w:r>
        <w:rPr>
          <w:rFonts w:hint="eastAsia" w:ascii="宋体" w:hAnsi="宋体"/>
          <w:b/>
          <w:sz w:val="28"/>
          <w:szCs w:val="28"/>
          <w:highlight w:val="none"/>
          <w:lang w:eastAsia="zh-TW"/>
        </w:rPr>
        <w:t>说 明</w:t>
      </w:r>
      <w:bookmarkEnd w:id="9"/>
      <w:bookmarkEnd w:id="10"/>
      <w:bookmarkEnd w:id="11"/>
      <w:bookmarkEnd w:id="12"/>
      <w:bookmarkStart w:id="14" w:name="_Toc292267791"/>
      <w:r>
        <w:rPr>
          <w:rFonts w:hint="eastAsia" w:ascii="宋体" w:hAnsi="宋体"/>
          <w:b/>
          <w:sz w:val="28"/>
          <w:szCs w:val="28"/>
          <w:highlight w:val="none"/>
        </w:rPr>
        <w:t xml:space="preserve"> </w:t>
      </w:r>
    </w:p>
    <w:bookmarkEnd w:id="14"/>
    <w:p>
      <w:pPr>
        <w:numPr>
          <w:ilvl w:val="0"/>
          <w:numId w:val="90"/>
        </w:numPr>
        <w:shd w:val="clear"/>
        <w:snapToGrid w:val="0"/>
        <w:spacing w:line="360" w:lineRule="auto"/>
        <w:outlineLvl w:val="0"/>
        <w:rPr>
          <w:rFonts w:ascii="宋体" w:hAnsi="宋体" w:cs="宋体"/>
          <w:b/>
          <w:bCs/>
          <w:szCs w:val="21"/>
          <w:highlight w:val="none"/>
        </w:rPr>
      </w:pPr>
      <w:bookmarkStart w:id="15" w:name="_Toc356482703"/>
      <w:bookmarkStart w:id="16" w:name="_Toc27109"/>
      <w:bookmarkStart w:id="17" w:name="_Toc355879707"/>
      <w:bookmarkStart w:id="18" w:name="_Toc7997"/>
      <w:bookmarkStart w:id="19" w:name="_Toc22165"/>
      <w:bookmarkStart w:id="20" w:name="_Toc410722677"/>
      <w:r>
        <w:rPr>
          <w:rFonts w:hint="eastAsia" w:ascii="宋体" w:hAnsi="宋体" w:cs="宋体"/>
          <w:b/>
          <w:bCs/>
          <w:szCs w:val="21"/>
          <w:highlight w:val="none"/>
        </w:rPr>
        <w:t>适用范围</w:t>
      </w:r>
      <w:bookmarkEnd w:id="15"/>
      <w:bookmarkEnd w:id="16"/>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rPr>
        <w:t>本招标文件适用于本投标邀请中所述项目的招标采购。</w:t>
      </w:r>
    </w:p>
    <w:p>
      <w:pPr>
        <w:numPr>
          <w:ilvl w:val="0"/>
          <w:numId w:val="90"/>
        </w:numPr>
        <w:shd w:val="clear"/>
        <w:snapToGrid w:val="0"/>
        <w:spacing w:line="360" w:lineRule="auto"/>
        <w:outlineLvl w:val="0"/>
        <w:rPr>
          <w:rFonts w:ascii="宋体" w:hAnsi="宋体" w:cs="宋体"/>
          <w:b/>
          <w:bCs/>
          <w:szCs w:val="21"/>
          <w:highlight w:val="none"/>
        </w:rPr>
      </w:pPr>
      <w:bookmarkStart w:id="21" w:name="_Toc11230"/>
      <w:bookmarkStart w:id="22" w:name="_Toc356482704"/>
      <w:r>
        <w:rPr>
          <w:rFonts w:hint="eastAsia" w:ascii="宋体" w:hAnsi="宋体" w:cs="宋体"/>
          <w:b/>
          <w:bCs/>
          <w:szCs w:val="21"/>
          <w:highlight w:val="none"/>
        </w:rPr>
        <w:t>招标采购单位</w:t>
      </w:r>
      <w:bookmarkEnd w:id="21"/>
      <w:bookmarkEnd w:id="22"/>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招标采购单位指招标人及招标代理机构。</w:t>
      </w:r>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rPr>
        <w:t>招标代理机构是指依法取得招标资格、从事招标代理业务并提供相关服务的专门机构</w:t>
      </w:r>
      <w:r>
        <w:rPr>
          <w:rFonts w:hint="eastAsia" w:ascii="宋体" w:hAnsi="宋体" w:cs="宋体"/>
          <w:szCs w:val="21"/>
          <w:highlight w:val="none"/>
          <w:lang w:eastAsia="zh-TW"/>
        </w:rPr>
        <w:t>。</w:t>
      </w:r>
    </w:p>
    <w:p>
      <w:pPr>
        <w:numPr>
          <w:ilvl w:val="0"/>
          <w:numId w:val="90"/>
        </w:numPr>
        <w:shd w:val="clear"/>
        <w:snapToGrid w:val="0"/>
        <w:spacing w:line="360" w:lineRule="auto"/>
        <w:outlineLvl w:val="0"/>
        <w:rPr>
          <w:rFonts w:ascii="宋体" w:hAnsi="宋体" w:cs="宋体"/>
          <w:b/>
          <w:bCs/>
          <w:szCs w:val="21"/>
          <w:highlight w:val="none"/>
        </w:rPr>
      </w:pPr>
      <w:bookmarkStart w:id="23" w:name="_Toc13075"/>
      <w:bookmarkStart w:id="24" w:name="_Toc356482705"/>
      <w:r>
        <w:rPr>
          <w:rFonts w:hint="eastAsia" w:ascii="宋体" w:hAnsi="宋体" w:cs="宋体"/>
          <w:b/>
          <w:bCs/>
          <w:szCs w:val="21"/>
          <w:highlight w:val="none"/>
        </w:rPr>
        <w:t>合格的投标人</w:t>
      </w:r>
      <w:bookmarkEnd w:id="23"/>
      <w:bookmarkEnd w:id="24"/>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rPr>
        <w:t>投标人是响应招标并且符合招标文件规定资格条件和参加投标竞争的法人。</w:t>
      </w:r>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合格的投标人</w:t>
      </w:r>
    </w:p>
    <w:p>
      <w:pPr>
        <w:numPr>
          <w:ilvl w:val="2"/>
          <w:numId w:val="90"/>
        </w:numPr>
        <w:shd w:val="clear"/>
        <w:snapToGrid w:val="0"/>
        <w:spacing w:line="360" w:lineRule="auto"/>
        <w:ind w:hanging="211"/>
        <w:rPr>
          <w:rFonts w:ascii="宋体" w:hAnsi="宋体" w:cs="宋体"/>
          <w:szCs w:val="21"/>
          <w:highlight w:val="none"/>
        </w:rPr>
      </w:pPr>
      <w:r>
        <w:rPr>
          <w:rFonts w:hint="eastAsia" w:ascii="宋体" w:hAnsi="宋体" w:cs="宋体"/>
          <w:szCs w:val="21"/>
          <w:highlight w:val="none"/>
        </w:rPr>
        <w:t>具有独立承担民事责任的能力。</w:t>
      </w:r>
    </w:p>
    <w:p>
      <w:pPr>
        <w:numPr>
          <w:ilvl w:val="2"/>
          <w:numId w:val="90"/>
        </w:numPr>
        <w:shd w:val="clear"/>
        <w:snapToGrid w:val="0"/>
        <w:spacing w:line="360" w:lineRule="auto"/>
        <w:ind w:hanging="211"/>
        <w:rPr>
          <w:rFonts w:ascii="宋体" w:hAnsi="宋体" w:cs="宋体"/>
          <w:szCs w:val="21"/>
          <w:highlight w:val="none"/>
        </w:rPr>
      </w:pPr>
      <w:r>
        <w:rPr>
          <w:rFonts w:hint="eastAsia" w:ascii="宋体" w:hAnsi="宋体" w:cs="宋体"/>
          <w:szCs w:val="21"/>
          <w:highlight w:val="none"/>
        </w:rPr>
        <w:t>具有良好的商业信誉和健全的财务会计制度。</w:t>
      </w:r>
    </w:p>
    <w:p>
      <w:pPr>
        <w:numPr>
          <w:ilvl w:val="2"/>
          <w:numId w:val="90"/>
        </w:numPr>
        <w:shd w:val="clear"/>
        <w:snapToGrid w:val="0"/>
        <w:spacing w:line="360" w:lineRule="auto"/>
        <w:ind w:hanging="211"/>
        <w:rPr>
          <w:rFonts w:ascii="宋体" w:hAnsi="宋体" w:cs="宋体"/>
          <w:szCs w:val="21"/>
          <w:highlight w:val="none"/>
        </w:rPr>
      </w:pPr>
      <w:r>
        <w:rPr>
          <w:rFonts w:hint="eastAsia" w:ascii="宋体" w:hAnsi="宋体" w:cs="宋体"/>
          <w:szCs w:val="21"/>
          <w:highlight w:val="none"/>
        </w:rPr>
        <w:t>具有履行合同所必需的设备和专业技术能力。</w:t>
      </w:r>
    </w:p>
    <w:p>
      <w:pPr>
        <w:numPr>
          <w:ilvl w:val="2"/>
          <w:numId w:val="90"/>
        </w:numPr>
        <w:shd w:val="clear"/>
        <w:snapToGrid w:val="0"/>
        <w:spacing w:line="360" w:lineRule="auto"/>
        <w:ind w:hanging="211"/>
        <w:rPr>
          <w:rFonts w:ascii="宋体" w:hAnsi="宋体" w:cs="宋体"/>
          <w:szCs w:val="21"/>
          <w:highlight w:val="none"/>
        </w:rPr>
      </w:pPr>
      <w:r>
        <w:rPr>
          <w:rFonts w:hint="eastAsia" w:ascii="宋体" w:hAnsi="宋体" w:cs="宋体"/>
          <w:szCs w:val="21"/>
          <w:highlight w:val="none"/>
        </w:rPr>
        <w:t>有依法缴纳税收和社会保障资金的良好记录。</w:t>
      </w:r>
    </w:p>
    <w:p>
      <w:pPr>
        <w:numPr>
          <w:ilvl w:val="2"/>
          <w:numId w:val="90"/>
        </w:numPr>
        <w:shd w:val="clear"/>
        <w:snapToGrid w:val="0"/>
        <w:spacing w:line="360" w:lineRule="auto"/>
        <w:ind w:hanging="211"/>
        <w:rPr>
          <w:rFonts w:ascii="宋体" w:hAnsi="宋体" w:cs="宋体"/>
          <w:szCs w:val="21"/>
          <w:highlight w:val="none"/>
        </w:rPr>
      </w:pPr>
      <w:r>
        <w:rPr>
          <w:rFonts w:hint="eastAsia" w:ascii="宋体" w:hAnsi="宋体" w:cs="宋体"/>
          <w:szCs w:val="21"/>
          <w:highlight w:val="none"/>
        </w:rPr>
        <w:t>参加本项目采购活动前三年内，在经营活动中没有重大违法记录。</w:t>
      </w:r>
    </w:p>
    <w:p>
      <w:pPr>
        <w:numPr>
          <w:ilvl w:val="2"/>
          <w:numId w:val="90"/>
        </w:numPr>
        <w:shd w:val="clear"/>
        <w:snapToGrid w:val="0"/>
        <w:spacing w:line="360" w:lineRule="auto"/>
        <w:ind w:hanging="211"/>
        <w:rPr>
          <w:rFonts w:ascii="宋体" w:hAnsi="宋体" w:cs="宋体"/>
          <w:szCs w:val="21"/>
          <w:highlight w:val="none"/>
        </w:rPr>
      </w:pPr>
      <w:r>
        <w:rPr>
          <w:rFonts w:hint="eastAsia" w:ascii="宋体" w:hAnsi="宋体" w:cs="宋体"/>
          <w:szCs w:val="21"/>
          <w:highlight w:val="none"/>
        </w:rPr>
        <w:t>法律、行政法规规定的其他条件。</w:t>
      </w:r>
    </w:p>
    <w:p>
      <w:pPr>
        <w:numPr>
          <w:ilvl w:val="2"/>
          <w:numId w:val="90"/>
        </w:numPr>
        <w:shd w:val="clear"/>
        <w:tabs>
          <w:tab w:val="clear" w:pos="851"/>
        </w:tabs>
        <w:snapToGrid w:val="0"/>
        <w:spacing w:line="360" w:lineRule="auto"/>
        <w:ind w:left="1251" w:hanging="611"/>
        <w:rPr>
          <w:rFonts w:ascii="宋体" w:hAnsi="宋体" w:cs="宋体"/>
          <w:szCs w:val="21"/>
          <w:highlight w:val="none"/>
        </w:rPr>
      </w:pPr>
      <w:r>
        <w:rPr>
          <w:rFonts w:hint="eastAsia" w:ascii="宋体" w:hAnsi="宋体" w:cs="宋体"/>
          <w:szCs w:val="21"/>
          <w:highlight w:val="none"/>
        </w:rPr>
        <w:t>只有在法律上和财务上独立、合法运作并独立于招标人和招标代理机构的供货商才能参加投标。</w:t>
      </w:r>
    </w:p>
    <w:p>
      <w:pPr>
        <w:numPr>
          <w:ilvl w:val="2"/>
          <w:numId w:val="90"/>
        </w:numPr>
        <w:shd w:val="clear"/>
        <w:snapToGrid w:val="0"/>
        <w:spacing w:line="360" w:lineRule="auto"/>
        <w:ind w:hanging="211"/>
        <w:rPr>
          <w:rFonts w:ascii="宋体" w:hAnsi="宋体" w:cs="宋体"/>
          <w:szCs w:val="21"/>
          <w:highlight w:val="none"/>
        </w:rPr>
      </w:pPr>
      <w:r>
        <w:rPr>
          <w:rFonts w:hint="eastAsia" w:ascii="宋体" w:hAnsi="宋体" w:cs="宋体"/>
          <w:szCs w:val="21"/>
          <w:highlight w:val="none"/>
        </w:rPr>
        <w:t>符合第一章投标邀请“投标人资格”的特殊条款。</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中标人是指经法定程序确定并授予合同的投标人。</w:t>
      </w:r>
    </w:p>
    <w:p>
      <w:pPr>
        <w:numPr>
          <w:ilvl w:val="0"/>
          <w:numId w:val="90"/>
        </w:numPr>
        <w:shd w:val="clear"/>
        <w:snapToGrid w:val="0"/>
        <w:spacing w:line="360" w:lineRule="auto"/>
        <w:outlineLvl w:val="0"/>
        <w:rPr>
          <w:rFonts w:ascii="宋体" w:hAnsi="宋体" w:cs="宋体"/>
          <w:b/>
          <w:bCs/>
          <w:szCs w:val="21"/>
          <w:highlight w:val="none"/>
        </w:rPr>
      </w:pPr>
      <w:bookmarkStart w:id="25" w:name="_Toc356482706"/>
      <w:bookmarkStart w:id="26" w:name="_Toc3840"/>
      <w:r>
        <w:rPr>
          <w:rFonts w:hint="eastAsia" w:ascii="宋体" w:hAnsi="宋体" w:cs="宋体"/>
          <w:b/>
          <w:bCs/>
          <w:szCs w:val="21"/>
          <w:highlight w:val="none"/>
        </w:rPr>
        <w:t>合格的货物和服务</w:t>
      </w:r>
      <w:bookmarkEnd w:id="25"/>
      <w:bookmarkEnd w:id="26"/>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rPr>
        <w:t>“货物”是指投标人制造或组织符合招标文件要求的货物等。投标的货物必须是其合法生产、合法来源的符合国家有关标准要求的货物，并满足招标文件规定的规格、参数、质量、价格、有效期、售后服务等要求。</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“服务”是指投标人须承担的运输、安装、技术支持、培训以及招标文件规定的其它伴随服务。</w:t>
      </w:r>
    </w:p>
    <w:p>
      <w:pPr>
        <w:numPr>
          <w:ilvl w:val="0"/>
          <w:numId w:val="90"/>
        </w:numPr>
        <w:shd w:val="clear"/>
        <w:snapToGrid w:val="0"/>
        <w:spacing w:line="360" w:lineRule="auto"/>
        <w:outlineLvl w:val="0"/>
        <w:rPr>
          <w:rFonts w:ascii="宋体" w:hAnsi="宋体" w:cs="宋体"/>
          <w:b/>
          <w:bCs/>
          <w:szCs w:val="21"/>
          <w:highlight w:val="none"/>
        </w:rPr>
      </w:pPr>
      <w:bookmarkStart w:id="27" w:name="_Toc23495"/>
      <w:bookmarkStart w:id="28" w:name="_Toc356482707"/>
      <w:r>
        <w:rPr>
          <w:rFonts w:hint="eastAsia" w:ascii="宋体" w:hAnsi="宋体" w:cs="宋体"/>
          <w:b/>
          <w:bCs/>
          <w:szCs w:val="21"/>
          <w:highlight w:val="none"/>
        </w:rPr>
        <w:t>投标费用</w:t>
      </w:r>
      <w:bookmarkEnd w:id="27"/>
      <w:bookmarkEnd w:id="28"/>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投标人应承担所有与准备和参加投标有关的费用。不论投标的结果如何</w:t>
      </w:r>
      <w:r>
        <w:rPr>
          <w:rFonts w:hint="eastAsia" w:ascii="宋体" w:hAnsi="宋体" w:cs="宋体"/>
          <w:szCs w:val="21"/>
          <w:highlight w:val="none"/>
        </w:rPr>
        <w:t>，</w:t>
      </w:r>
      <w:r>
        <w:rPr>
          <w:rFonts w:hint="eastAsia" w:ascii="宋体" w:hAnsi="宋体" w:cs="宋体"/>
          <w:szCs w:val="21"/>
          <w:highlight w:val="none"/>
          <w:lang w:eastAsia="zh-TW"/>
        </w:rPr>
        <w:t>招标采购单位均无义务和责任承担这些费用</w:t>
      </w:r>
      <w:r>
        <w:rPr>
          <w:rFonts w:hint="eastAsia" w:ascii="宋体" w:hAnsi="宋体" w:cs="宋体"/>
          <w:szCs w:val="21"/>
          <w:highlight w:val="none"/>
        </w:rPr>
        <w:t>。</w:t>
      </w:r>
    </w:p>
    <w:p>
      <w:pPr>
        <w:shd w:val="clear"/>
        <w:snapToGrid w:val="0"/>
        <w:spacing w:line="360" w:lineRule="auto"/>
        <w:ind w:left="372" w:hanging="371" w:hangingChars="177"/>
        <w:rPr>
          <w:rFonts w:ascii="宋体" w:hAnsi="宋体" w:cs="宋体"/>
          <w:szCs w:val="21"/>
          <w:highlight w:val="none"/>
        </w:rPr>
      </w:pPr>
    </w:p>
    <w:p>
      <w:pPr>
        <w:numPr>
          <w:ilvl w:val="0"/>
          <w:numId w:val="89"/>
        </w:numPr>
        <w:shd w:val="clear"/>
        <w:snapToGrid w:val="0"/>
        <w:spacing w:line="360" w:lineRule="auto"/>
        <w:jc w:val="center"/>
        <w:outlineLvl w:val="0"/>
        <w:rPr>
          <w:rFonts w:ascii="宋体" w:hAnsi="宋体"/>
          <w:b/>
          <w:sz w:val="28"/>
          <w:szCs w:val="28"/>
          <w:highlight w:val="none"/>
          <w:lang w:eastAsia="zh-TW"/>
        </w:rPr>
      </w:pPr>
      <w:bookmarkStart w:id="29" w:name="_Toc29753"/>
      <w:bookmarkStart w:id="30" w:name="_Toc356482708"/>
      <w:r>
        <w:rPr>
          <w:rFonts w:hint="eastAsia" w:ascii="宋体" w:hAnsi="宋体"/>
          <w:b/>
          <w:sz w:val="28"/>
          <w:szCs w:val="28"/>
          <w:highlight w:val="none"/>
          <w:lang w:eastAsia="zh-TW"/>
        </w:rPr>
        <w:t>招标文件</w:t>
      </w:r>
      <w:bookmarkEnd w:id="29"/>
      <w:bookmarkEnd w:id="30"/>
    </w:p>
    <w:p>
      <w:pPr>
        <w:numPr>
          <w:ilvl w:val="0"/>
          <w:numId w:val="90"/>
        </w:numPr>
        <w:shd w:val="clear"/>
        <w:snapToGrid w:val="0"/>
        <w:spacing w:line="360" w:lineRule="auto"/>
        <w:outlineLvl w:val="0"/>
        <w:rPr>
          <w:rFonts w:ascii="宋体" w:hAnsi="宋体" w:cs="宋体"/>
          <w:b/>
          <w:bCs/>
          <w:szCs w:val="21"/>
          <w:highlight w:val="none"/>
        </w:rPr>
      </w:pPr>
      <w:bookmarkStart w:id="31" w:name="_Toc356482709"/>
      <w:bookmarkStart w:id="32" w:name="_Toc3388"/>
      <w:r>
        <w:rPr>
          <w:rFonts w:hint="eastAsia" w:ascii="宋体" w:hAnsi="宋体" w:cs="宋体"/>
          <w:b/>
          <w:bCs/>
          <w:szCs w:val="21"/>
          <w:highlight w:val="none"/>
        </w:rPr>
        <w:t>招标文件的编制与构成</w:t>
      </w:r>
      <w:bookmarkEnd w:id="31"/>
      <w:bookmarkEnd w:id="32"/>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rPr>
        <w:t>本招标文件的编制参照《中华人民共和国政府采购法》。</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要求提供的货物、</w:t>
      </w:r>
      <w:r>
        <w:rPr>
          <w:rFonts w:hint="eastAsia" w:ascii="宋体" w:hAnsi="宋体" w:cs="宋体"/>
          <w:szCs w:val="21"/>
          <w:highlight w:val="none"/>
        </w:rPr>
        <w:t>采购</w:t>
      </w:r>
      <w:r>
        <w:rPr>
          <w:rFonts w:hint="eastAsia" w:ascii="宋体" w:hAnsi="宋体" w:cs="宋体"/>
          <w:szCs w:val="21"/>
          <w:highlight w:val="none"/>
          <w:lang w:eastAsia="zh-TW"/>
        </w:rPr>
        <w:t>过程和合同条件在招标文件中均有说明。招标文件以中文文字编写。</w:t>
      </w:r>
    </w:p>
    <w:p>
      <w:pPr>
        <w:shd w:val="clear"/>
        <w:snapToGrid w:val="0"/>
        <w:spacing w:line="360" w:lineRule="auto"/>
        <w:ind w:left="571" w:leftChars="272"/>
        <w:rPr>
          <w:rFonts w:ascii="宋体" w:hAnsi="宋体" w:cs="宋体"/>
          <w:szCs w:val="21"/>
          <w:highlight w:val="none"/>
        </w:rPr>
      </w:pPr>
      <w:r>
        <w:rPr>
          <w:rFonts w:hint="eastAsia" w:ascii="宋体" w:hAnsi="宋体" w:cs="宋体"/>
          <w:szCs w:val="21"/>
          <w:highlight w:val="none"/>
          <w:lang w:eastAsia="zh-TW"/>
        </w:rPr>
        <w:t>招标文件共</w:t>
      </w:r>
      <w:r>
        <w:rPr>
          <w:rFonts w:hint="eastAsia" w:ascii="宋体" w:hAnsi="宋体" w:cs="宋体"/>
          <w:szCs w:val="21"/>
          <w:highlight w:val="none"/>
        </w:rPr>
        <w:t>七</w:t>
      </w:r>
      <w:r>
        <w:rPr>
          <w:rFonts w:hint="eastAsia" w:ascii="宋体" w:hAnsi="宋体" w:cs="宋体"/>
          <w:szCs w:val="21"/>
          <w:highlight w:val="none"/>
          <w:lang w:eastAsia="zh-TW"/>
        </w:rPr>
        <w:t>章</w:t>
      </w:r>
      <w:r>
        <w:rPr>
          <w:rFonts w:hint="eastAsia" w:ascii="宋体" w:hAnsi="宋体" w:cs="宋体"/>
          <w:szCs w:val="21"/>
          <w:highlight w:val="none"/>
        </w:rPr>
        <w:t>，由下列文件以及在招标过程中发出的澄清、修改和补充文件组成，</w:t>
      </w:r>
      <w:r>
        <w:rPr>
          <w:rFonts w:hint="eastAsia" w:ascii="宋体" w:hAnsi="宋体" w:cs="宋体"/>
          <w:szCs w:val="21"/>
          <w:highlight w:val="none"/>
          <w:lang w:eastAsia="zh-TW"/>
        </w:rPr>
        <w:t>内容如下</w:t>
      </w:r>
      <w:r>
        <w:rPr>
          <w:rFonts w:hint="eastAsia" w:ascii="宋体" w:hAnsi="宋体" w:cs="宋体"/>
          <w:szCs w:val="21"/>
          <w:highlight w:val="none"/>
        </w:rPr>
        <w:t>：</w:t>
      </w:r>
    </w:p>
    <w:p>
      <w:pPr>
        <w:shd w:val="clear"/>
        <w:snapToGrid w:val="0"/>
        <w:spacing w:line="360" w:lineRule="auto"/>
        <w:ind w:left="445" w:leftChars="212" w:firstLine="143"/>
        <w:rPr>
          <w:rFonts w:ascii="宋体" w:hAnsi="宋体" w:cs="宋体"/>
          <w:szCs w:val="21"/>
          <w:highlight w:val="none"/>
        </w:rPr>
      </w:pPr>
      <w:r>
        <w:rPr>
          <w:rFonts w:hint="eastAsia" w:ascii="宋体" w:hAnsi="宋体" w:cs="宋体"/>
          <w:szCs w:val="21"/>
          <w:highlight w:val="none"/>
          <w:lang w:eastAsia="zh-TW"/>
        </w:rPr>
        <w:t>第一章</w:t>
      </w:r>
      <w:r>
        <w:rPr>
          <w:rFonts w:hint="eastAsia" w:ascii="宋体" w:hAnsi="宋体" w:cs="宋体"/>
          <w:szCs w:val="21"/>
          <w:highlight w:val="none"/>
        </w:rPr>
        <w:t>　</w:t>
      </w:r>
      <w:r>
        <w:rPr>
          <w:rFonts w:hint="eastAsia" w:ascii="宋体" w:hAnsi="宋体" w:cs="宋体"/>
          <w:szCs w:val="21"/>
          <w:highlight w:val="none"/>
          <w:lang w:eastAsia="zh-TW"/>
        </w:rPr>
        <w:t>投标邀请</w:t>
      </w:r>
    </w:p>
    <w:p>
      <w:pPr>
        <w:shd w:val="clear"/>
        <w:snapToGrid w:val="0"/>
        <w:spacing w:line="360" w:lineRule="auto"/>
        <w:ind w:left="688" w:leftChars="270" w:hanging="121"/>
        <w:rPr>
          <w:rFonts w:ascii="宋体" w:hAnsi="宋体" w:cs="宋体"/>
          <w:szCs w:val="21"/>
          <w:highlight w:val="none"/>
        </w:rPr>
      </w:pPr>
      <w:r>
        <w:rPr>
          <w:rFonts w:hint="eastAsia" w:ascii="宋体" w:hAnsi="宋体" w:cs="宋体"/>
          <w:szCs w:val="21"/>
          <w:highlight w:val="none"/>
          <w:lang w:eastAsia="zh-TW"/>
        </w:rPr>
        <w:t>第二章</w:t>
      </w:r>
      <w:r>
        <w:rPr>
          <w:rFonts w:hint="eastAsia" w:ascii="宋体" w:hAnsi="宋体" w:cs="宋体"/>
          <w:szCs w:val="21"/>
          <w:highlight w:val="none"/>
        </w:rPr>
        <w:t>　</w:t>
      </w:r>
      <w:r>
        <w:rPr>
          <w:rFonts w:hint="eastAsia" w:ascii="宋体" w:hAnsi="宋体" w:cs="宋体"/>
          <w:szCs w:val="21"/>
          <w:highlight w:val="none"/>
          <w:lang w:eastAsia="zh-TW"/>
        </w:rPr>
        <w:t>投标资料表</w:t>
      </w:r>
    </w:p>
    <w:p>
      <w:pPr>
        <w:shd w:val="clear"/>
        <w:snapToGrid w:val="0"/>
        <w:spacing w:line="360" w:lineRule="auto"/>
        <w:ind w:left="688" w:leftChars="270" w:hanging="121"/>
        <w:rPr>
          <w:rFonts w:ascii="宋体" w:hAnsi="宋体" w:cs="宋体"/>
          <w:szCs w:val="21"/>
          <w:highlight w:val="none"/>
        </w:rPr>
      </w:pPr>
      <w:r>
        <w:rPr>
          <w:rFonts w:hint="eastAsia" w:ascii="宋体" w:hAnsi="宋体" w:cs="宋体"/>
          <w:szCs w:val="21"/>
          <w:highlight w:val="none"/>
          <w:lang w:eastAsia="zh-TW"/>
        </w:rPr>
        <w:t>第</w:t>
      </w:r>
      <w:r>
        <w:rPr>
          <w:rFonts w:hint="eastAsia" w:ascii="宋体" w:hAnsi="宋体" w:cs="宋体"/>
          <w:szCs w:val="21"/>
          <w:highlight w:val="none"/>
        </w:rPr>
        <w:t>三</w:t>
      </w:r>
      <w:r>
        <w:rPr>
          <w:rFonts w:hint="eastAsia" w:ascii="宋体" w:hAnsi="宋体" w:cs="宋体"/>
          <w:szCs w:val="21"/>
          <w:highlight w:val="none"/>
          <w:lang w:eastAsia="zh-TW"/>
        </w:rPr>
        <w:t>章</w:t>
      </w:r>
      <w:r>
        <w:rPr>
          <w:rFonts w:hint="eastAsia" w:ascii="宋体" w:hAnsi="宋体" w:cs="宋体"/>
          <w:szCs w:val="21"/>
          <w:highlight w:val="none"/>
        </w:rPr>
        <w:t>　</w:t>
      </w:r>
      <w:r>
        <w:rPr>
          <w:rFonts w:hint="eastAsia" w:ascii="宋体" w:hAnsi="宋体" w:cs="宋体"/>
          <w:szCs w:val="21"/>
          <w:highlight w:val="none"/>
          <w:lang w:eastAsia="zh-TW"/>
        </w:rPr>
        <w:t>用户需求书</w:t>
      </w:r>
    </w:p>
    <w:p>
      <w:pPr>
        <w:shd w:val="clear"/>
        <w:snapToGrid w:val="0"/>
        <w:spacing w:line="360" w:lineRule="auto"/>
        <w:ind w:left="688" w:leftChars="270" w:hanging="121"/>
        <w:rPr>
          <w:rFonts w:ascii="宋体" w:hAnsi="宋体" w:cs="宋体"/>
          <w:szCs w:val="21"/>
          <w:highlight w:val="none"/>
        </w:rPr>
      </w:pPr>
      <w:r>
        <w:rPr>
          <w:rFonts w:hint="eastAsia" w:ascii="宋体" w:hAnsi="宋体" w:cs="宋体"/>
          <w:szCs w:val="21"/>
          <w:highlight w:val="none"/>
          <w:lang w:eastAsia="zh-TW"/>
        </w:rPr>
        <w:t>第</w:t>
      </w:r>
      <w:r>
        <w:rPr>
          <w:rFonts w:hint="eastAsia" w:ascii="宋体" w:hAnsi="宋体" w:cs="宋体"/>
          <w:szCs w:val="21"/>
          <w:highlight w:val="none"/>
        </w:rPr>
        <w:t>四</w:t>
      </w:r>
      <w:r>
        <w:rPr>
          <w:rFonts w:hint="eastAsia" w:ascii="宋体" w:hAnsi="宋体" w:cs="宋体"/>
          <w:szCs w:val="21"/>
          <w:highlight w:val="none"/>
          <w:lang w:eastAsia="zh-TW"/>
        </w:rPr>
        <w:t>章</w:t>
      </w:r>
      <w:r>
        <w:rPr>
          <w:rFonts w:hint="eastAsia" w:ascii="宋体" w:hAnsi="宋体" w:cs="宋体"/>
          <w:szCs w:val="21"/>
          <w:highlight w:val="none"/>
        </w:rPr>
        <w:t>　</w:t>
      </w:r>
      <w:r>
        <w:rPr>
          <w:rFonts w:hint="eastAsia" w:ascii="宋体" w:hAnsi="宋体" w:cs="宋体"/>
          <w:szCs w:val="21"/>
          <w:highlight w:val="none"/>
          <w:lang w:eastAsia="zh-TW"/>
        </w:rPr>
        <w:t>评分</w:t>
      </w:r>
      <w:r>
        <w:rPr>
          <w:rFonts w:hint="eastAsia" w:ascii="宋体" w:hAnsi="宋体" w:cs="宋体"/>
          <w:szCs w:val="21"/>
          <w:highlight w:val="none"/>
        </w:rPr>
        <w:t>体系</w:t>
      </w:r>
      <w:r>
        <w:rPr>
          <w:rFonts w:hint="eastAsia" w:ascii="宋体" w:hAnsi="宋体" w:cs="宋体"/>
          <w:szCs w:val="21"/>
          <w:highlight w:val="none"/>
          <w:lang w:eastAsia="zh-TW"/>
        </w:rPr>
        <w:t>和标准</w:t>
      </w:r>
    </w:p>
    <w:p>
      <w:pPr>
        <w:shd w:val="clear"/>
        <w:snapToGrid w:val="0"/>
        <w:spacing w:line="360" w:lineRule="auto"/>
        <w:ind w:left="688" w:leftChars="270" w:hanging="121"/>
        <w:rPr>
          <w:rFonts w:ascii="宋体" w:hAnsi="宋体" w:cs="宋体"/>
          <w:szCs w:val="21"/>
          <w:highlight w:val="none"/>
        </w:rPr>
      </w:pPr>
      <w:r>
        <w:rPr>
          <w:rFonts w:hint="eastAsia" w:ascii="宋体" w:hAnsi="宋体" w:cs="宋体"/>
          <w:szCs w:val="21"/>
          <w:highlight w:val="none"/>
          <w:lang w:eastAsia="zh-TW"/>
        </w:rPr>
        <w:t>第</w:t>
      </w:r>
      <w:r>
        <w:rPr>
          <w:rFonts w:hint="eastAsia" w:ascii="宋体" w:hAnsi="宋体" w:cs="宋体"/>
          <w:szCs w:val="21"/>
          <w:highlight w:val="none"/>
        </w:rPr>
        <w:t>五</w:t>
      </w:r>
      <w:r>
        <w:rPr>
          <w:rFonts w:hint="eastAsia" w:ascii="宋体" w:hAnsi="宋体" w:cs="宋体"/>
          <w:szCs w:val="21"/>
          <w:highlight w:val="none"/>
          <w:lang w:eastAsia="zh-TW"/>
        </w:rPr>
        <w:t>章</w:t>
      </w:r>
      <w:r>
        <w:rPr>
          <w:rFonts w:hint="eastAsia" w:ascii="宋体" w:hAnsi="宋体" w:cs="宋体"/>
          <w:szCs w:val="21"/>
          <w:highlight w:val="none"/>
        </w:rPr>
        <w:t>　</w:t>
      </w:r>
      <w:r>
        <w:rPr>
          <w:rFonts w:hint="eastAsia" w:ascii="宋体" w:hAnsi="宋体" w:cs="宋体"/>
          <w:szCs w:val="21"/>
          <w:highlight w:val="none"/>
          <w:lang w:eastAsia="zh-TW"/>
        </w:rPr>
        <w:t>投标人须知</w:t>
      </w:r>
    </w:p>
    <w:p>
      <w:pPr>
        <w:shd w:val="clear"/>
        <w:snapToGrid w:val="0"/>
        <w:spacing w:line="360" w:lineRule="auto"/>
        <w:ind w:left="688" w:leftChars="270" w:hanging="121"/>
        <w:rPr>
          <w:rFonts w:ascii="宋体" w:hAnsi="宋体" w:cs="宋体"/>
          <w:szCs w:val="21"/>
          <w:highlight w:val="none"/>
        </w:rPr>
      </w:pPr>
      <w:r>
        <w:rPr>
          <w:rFonts w:hint="eastAsia" w:ascii="宋体" w:hAnsi="宋体" w:cs="宋体"/>
          <w:szCs w:val="21"/>
          <w:highlight w:val="none"/>
          <w:lang w:eastAsia="zh-TW"/>
        </w:rPr>
        <w:t>第</w:t>
      </w:r>
      <w:r>
        <w:rPr>
          <w:rFonts w:hint="eastAsia" w:ascii="宋体" w:hAnsi="宋体" w:cs="宋体"/>
          <w:szCs w:val="21"/>
          <w:highlight w:val="none"/>
        </w:rPr>
        <w:t>六</w:t>
      </w:r>
      <w:r>
        <w:rPr>
          <w:rFonts w:hint="eastAsia" w:ascii="宋体" w:hAnsi="宋体" w:cs="宋体"/>
          <w:szCs w:val="21"/>
          <w:highlight w:val="none"/>
          <w:lang w:eastAsia="zh-TW"/>
        </w:rPr>
        <w:t>章</w:t>
      </w:r>
      <w:r>
        <w:rPr>
          <w:rFonts w:hint="eastAsia" w:ascii="宋体" w:hAnsi="宋体" w:cs="宋体"/>
          <w:szCs w:val="21"/>
          <w:highlight w:val="none"/>
        </w:rPr>
        <w:t>　</w:t>
      </w:r>
      <w:r>
        <w:rPr>
          <w:rFonts w:hint="eastAsia" w:ascii="宋体" w:hAnsi="宋体" w:cs="宋体"/>
          <w:szCs w:val="21"/>
          <w:highlight w:val="none"/>
          <w:lang w:eastAsia="zh-TW"/>
        </w:rPr>
        <w:t>合同条款</w:t>
      </w:r>
    </w:p>
    <w:p>
      <w:pPr>
        <w:shd w:val="clear"/>
        <w:snapToGrid w:val="0"/>
        <w:spacing w:line="360" w:lineRule="auto"/>
        <w:ind w:left="688" w:leftChars="270" w:hanging="121"/>
        <w:rPr>
          <w:rFonts w:ascii="宋体" w:hAnsi="宋体" w:cs="宋体"/>
          <w:szCs w:val="21"/>
          <w:highlight w:val="none"/>
        </w:rPr>
      </w:pPr>
      <w:r>
        <w:rPr>
          <w:rFonts w:hint="eastAsia" w:ascii="宋体" w:hAnsi="宋体" w:cs="宋体"/>
          <w:szCs w:val="21"/>
          <w:highlight w:val="none"/>
        </w:rPr>
        <w:t>第七章　投标文件格式</w:t>
      </w:r>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投标人应认真阅读、并充分理解招标文件的全部内容（包括所有的补充、修改内容重要事项、格式、条款和技术规范、参数及要求等）。投标人没有按照招标文件要求提交全部资料，或者投标</w:t>
      </w:r>
      <w:r>
        <w:rPr>
          <w:rFonts w:hint="eastAsia" w:ascii="宋体" w:hAnsi="宋体" w:cs="宋体"/>
          <w:szCs w:val="21"/>
          <w:highlight w:val="none"/>
        </w:rPr>
        <w:t>文件</w:t>
      </w:r>
      <w:r>
        <w:rPr>
          <w:rFonts w:hint="eastAsia" w:ascii="宋体" w:hAnsi="宋体" w:cs="宋体"/>
          <w:szCs w:val="21"/>
          <w:highlight w:val="none"/>
          <w:lang w:eastAsia="zh-TW"/>
        </w:rPr>
        <w:t>没有对招标文件在各方面都作出实质性响应是投标人的风险，有可能导致其投标被拒绝，或被认定为无效投标或被确定为投标无效。</w:t>
      </w:r>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rPr>
        <w:t>本</w:t>
      </w:r>
      <w:r>
        <w:rPr>
          <w:rFonts w:hint="eastAsia" w:ascii="宋体" w:hAnsi="宋体" w:cs="宋体"/>
          <w:szCs w:val="21"/>
          <w:highlight w:val="none"/>
          <w:lang w:eastAsia="zh-TW"/>
        </w:rPr>
        <w:t>招标文件的解释权归“</w:t>
      </w:r>
      <w:r>
        <w:rPr>
          <w:rFonts w:hint="eastAsia" w:ascii="宋体" w:hAnsi="宋体" w:cs="宋体"/>
          <w:szCs w:val="21"/>
          <w:highlight w:val="none"/>
        </w:rPr>
        <w:t>广东必鼎工程项目管理有限公司</w:t>
      </w:r>
      <w:r>
        <w:rPr>
          <w:rFonts w:hint="eastAsia" w:ascii="宋体" w:hAnsi="宋体" w:cs="宋体"/>
          <w:szCs w:val="21"/>
          <w:highlight w:val="none"/>
          <w:lang w:eastAsia="zh-TW"/>
        </w:rPr>
        <w:t>”所有。</w:t>
      </w:r>
    </w:p>
    <w:p>
      <w:pPr>
        <w:numPr>
          <w:ilvl w:val="0"/>
          <w:numId w:val="90"/>
        </w:numPr>
        <w:shd w:val="clear"/>
        <w:snapToGrid w:val="0"/>
        <w:spacing w:line="360" w:lineRule="auto"/>
        <w:outlineLvl w:val="0"/>
        <w:rPr>
          <w:rFonts w:ascii="宋体" w:hAnsi="宋体" w:cs="宋体"/>
          <w:b/>
          <w:bCs/>
          <w:szCs w:val="21"/>
          <w:highlight w:val="none"/>
        </w:rPr>
      </w:pPr>
      <w:bookmarkStart w:id="33" w:name="_Toc16155"/>
      <w:bookmarkStart w:id="34" w:name="_Toc356482710"/>
      <w:r>
        <w:rPr>
          <w:rFonts w:hint="eastAsia" w:ascii="宋体" w:hAnsi="宋体" w:cs="宋体"/>
          <w:b/>
          <w:bCs/>
          <w:szCs w:val="21"/>
          <w:highlight w:val="none"/>
        </w:rPr>
        <w:t>招标文件的澄清</w:t>
      </w:r>
      <w:bookmarkEnd w:id="33"/>
      <w:bookmarkEnd w:id="34"/>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任何要求对招标文件进行澄清的投标人，均应以书面形式在投标截止时间十五日以前通知招标采购单位。招标代理机构将组织招标人对投标人所要求澄清的内容均以书面形式予以答复。必要时，招标采购单位将召开答疑会，并将会议内容以书面形式发给每个购买招标文件的潜在投标人</w:t>
      </w:r>
      <w:r>
        <w:rPr>
          <w:rFonts w:hint="eastAsia" w:ascii="宋体" w:hAnsi="宋体" w:cs="宋体"/>
          <w:szCs w:val="21"/>
          <w:highlight w:val="none"/>
        </w:rPr>
        <w:t>，</w:t>
      </w:r>
      <w:r>
        <w:rPr>
          <w:rFonts w:hint="eastAsia" w:ascii="宋体" w:hAnsi="宋体" w:cs="宋体"/>
          <w:szCs w:val="21"/>
          <w:highlight w:val="none"/>
          <w:lang w:eastAsia="zh-TW"/>
        </w:rPr>
        <w:t>答复中不包括问题的来源。</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投标人在规定的时间内未对招标文件提出澄清或疑问的，招标采购单位将视其为无异议。对招标文件中描述有歧意或前后不一致的地方，评标委员会有权进行评判，但对同一条款的评判应适用于每个投标人。</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除非依本须知第7.1规定的有</w:t>
      </w:r>
      <w:r>
        <w:rPr>
          <w:rFonts w:hint="eastAsia" w:ascii="宋体" w:hAnsi="宋体" w:cs="宋体"/>
          <w:szCs w:val="21"/>
          <w:highlight w:val="none"/>
          <w:lang w:eastAsia="zh-TW"/>
        </w:rPr>
        <w:t>必要时</w:t>
      </w:r>
      <w:r>
        <w:rPr>
          <w:rFonts w:hint="eastAsia" w:ascii="宋体" w:hAnsi="宋体" w:cs="宋体"/>
          <w:szCs w:val="21"/>
          <w:highlight w:val="none"/>
        </w:rPr>
        <w:t>或</w:t>
      </w:r>
      <w:r>
        <w:rPr>
          <w:rFonts w:hint="eastAsia" w:ascii="宋体" w:hAnsi="宋体" w:cs="宋体"/>
          <w:b/>
          <w:szCs w:val="21"/>
          <w:highlight w:val="none"/>
        </w:rPr>
        <w:t>投标资料表</w:t>
      </w:r>
      <w:r>
        <w:rPr>
          <w:rFonts w:hint="eastAsia" w:ascii="宋体" w:hAnsi="宋体" w:cs="宋体"/>
          <w:szCs w:val="21"/>
          <w:highlight w:val="none"/>
        </w:rPr>
        <w:t>中另有规定，不举行项目集中答疑会或现场考察，如果</w:t>
      </w:r>
      <w:r>
        <w:rPr>
          <w:rFonts w:hint="eastAsia" w:ascii="宋体" w:hAnsi="宋体" w:cs="宋体"/>
          <w:b/>
          <w:szCs w:val="21"/>
          <w:highlight w:val="none"/>
        </w:rPr>
        <w:t>投标资料表</w:t>
      </w:r>
      <w:r>
        <w:rPr>
          <w:rFonts w:hint="eastAsia" w:ascii="宋体" w:hAnsi="宋体" w:cs="宋体"/>
          <w:szCs w:val="21"/>
          <w:highlight w:val="none"/>
        </w:rPr>
        <w:t>中规定举行集中答疑会或现场考察，则包含下列规定：</w:t>
      </w:r>
    </w:p>
    <w:p>
      <w:pPr>
        <w:numPr>
          <w:ilvl w:val="2"/>
          <w:numId w:val="90"/>
        </w:numPr>
        <w:shd w:val="clear"/>
        <w:snapToGrid w:val="0"/>
        <w:spacing w:line="360" w:lineRule="auto"/>
        <w:ind w:hanging="211"/>
        <w:rPr>
          <w:rFonts w:ascii="宋体" w:hAnsi="宋体" w:cs="宋体"/>
          <w:szCs w:val="21"/>
          <w:highlight w:val="none"/>
        </w:rPr>
      </w:pPr>
      <w:r>
        <w:rPr>
          <w:rFonts w:hint="eastAsia" w:ascii="宋体" w:hAnsi="宋体" w:cs="宋体"/>
          <w:szCs w:val="21"/>
          <w:highlight w:val="none"/>
          <w:lang w:eastAsia="zh-TW"/>
        </w:rPr>
        <w:t>在</w:t>
      </w:r>
      <w:r>
        <w:rPr>
          <w:rFonts w:hint="eastAsia" w:ascii="宋体" w:hAnsi="宋体" w:cs="宋体"/>
          <w:b/>
          <w:szCs w:val="21"/>
          <w:highlight w:val="none"/>
          <w:lang w:eastAsia="zh-TW"/>
        </w:rPr>
        <w:t>投标资料表</w:t>
      </w:r>
      <w:r>
        <w:rPr>
          <w:rFonts w:hint="eastAsia" w:ascii="宋体" w:hAnsi="宋体" w:cs="宋体"/>
          <w:szCs w:val="21"/>
          <w:highlight w:val="none"/>
        </w:rPr>
        <w:t>中规定的日期、时间和地点组织公开答疑会或现场考察；</w:t>
      </w:r>
    </w:p>
    <w:p>
      <w:pPr>
        <w:numPr>
          <w:ilvl w:val="2"/>
          <w:numId w:val="90"/>
        </w:numPr>
        <w:shd w:val="clear"/>
        <w:tabs>
          <w:tab w:val="left" w:pos="1260"/>
          <w:tab w:val="clear" w:pos="851"/>
        </w:tabs>
        <w:snapToGrid w:val="0"/>
        <w:spacing w:line="360" w:lineRule="auto"/>
        <w:ind w:left="1251" w:hanging="611"/>
        <w:rPr>
          <w:rFonts w:ascii="宋体" w:hAnsi="宋体" w:cs="宋体"/>
          <w:szCs w:val="21"/>
          <w:highlight w:val="none"/>
          <w:lang w:eastAsia="zh-TW"/>
        </w:rPr>
      </w:pPr>
      <w:r>
        <w:rPr>
          <w:rFonts w:hint="eastAsia" w:ascii="宋体" w:hAnsi="宋体" w:cs="宋体"/>
          <w:szCs w:val="21"/>
          <w:highlight w:val="none"/>
          <w:lang w:eastAsia="zh-TW"/>
        </w:rPr>
        <w:t>潜在投标人对本项目提出的疑问，需在答疑会或现场考察召开日前至少一个工作日将问题清单传真或以书面（加盖公章）形式提交至招标代理机构，潜在投标人代表于上述的时间和地点出席答疑会或现场考察。</w:t>
      </w:r>
    </w:p>
    <w:p>
      <w:pPr>
        <w:numPr>
          <w:ilvl w:val="2"/>
          <w:numId w:val="90"/>
        </w:numPr>
        <w:shd w:val="clear"/>
        <w:tabs>
          <w:tab w:val="left" w:pos="1260"/>
          <w:tab w:val="clear" w:pos="851"/>
        </w:tabs>
        <w:snapToGrid w:val="0"/>
        <w:spacing w:line="360" w:lineRule="auto"/>
        <w:ind w:left="1251" w:hanging="611"/>
        <w:rPr>
          <w:rFonts w:ascii="宋体" w:hAnsi="宋体" w:cs="宋体"/>
          <w:szCs w:val="21"/>
          <w:highlight w:val="none"/>
        </w:rPr>
      </w:pPr>
      <w:r>
        <w:rPr>
          <w:rFonts w:hint="eastAsia" w:ascii="宋体" w:hAnsi="宋体" w:cs="宋体"/>
          <w:szCs w:val="21"/>
          <w:highlight w:val="none"/>
          <w:lang w:eastAsia="zh-TW"/>
        </w:rPr>
        <w:t>已购买招标文件的投标人如不出席答疑会或现场考察视为对招标文件所有内容无任何异议。</w:t>
      </w:r>
    </w:p>
    <w:p>
      <w:pPr>
        <w:numPr>
          <w:ilvl w:val="0"/>
          <w:numId w:val="90"/>
        </w:numPr>
        <w:shd w:val="clear"/>
        <w:snapToGrid w:val="0"/>
        <w:spacing w:line="360" w:lineRule="auto"/>
        <w:outlineLvl w:val="0"/>
        <w:rPr>
          <w:rFonts w:ascii="宋体" w:hAnsi="宋体" w:cs="宋体"/>
          <w:b/>
          <w:bCs/>
          <w:szCs w:val="21"/>
          <w:highlight w:val="none"/>
        </w:rPr>
      </w:pPr>
      <w:bookmarkStart w:id="35" w:name="_Toc356482711"/>
      <w:bookmarkStart w:id="36" w:name="_Toc1783"/>
      <w:r>
        <w:rPr>
          <w:rFonts w:hint="eastAsia" w:ascii="宋体" w:hAnsi="宋体" w:cs="宋体"/>
          <w:b/>
          <w:bCs/>
          <w:szCs w:val="21"/>
          <w:highlight w:val="none"/>
        </w:rPr>
        <w:t>招标文件的修改</w:t>
      </w:r>
      <w:bookmarkEnd w:id="35"/>
      <w:bookmarkEnd w:id="36"/>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无论出于何种原因</w:t>
      </w:r>
      <w:r>
        <w:rPr>
          <w:rFonts w:hint="eastAsia" w:ascii="宋体" w:hAnsi="宋体" w:cs="宋体"/>
          <w:szCs w:val="21"/>
          <w:highlight w:val="none"/>
        </w:rPr>
        <w:t>，</w:t>
      </w:r>
      <w:r>
        <w:rPr>
          <w:rFonts w:hint="eastAsia" w:ascii="宋体" w:hAnsi="宋体" w:cs="宋体"/>
          <w:szCs w:val="21"/>
          <w:highlight w:val="none"/>
          <w:lang w:eastAsia="zh-TW"/>
        </w:rPr>
        <w:t>招标采购单位可主动地或在解答投标人提出的疑问时对招标文件进行修改</w:t>
      </w:r>
      <w:r>
        <w:rPr>
          <w:rFonts w:hint="eastAsia" w:ascii="宋体" w:hAnsi="宋体" w:cs="宋体"/>
          <w:szCs w:val="21"/>
          <w:highlight w:val="none"/>
        </w:rPr>
        <w:t>，</w:t>
      </w:r>
      <w:r>
        <w:rPr>
          <w:rFonts w:hint="eastAsia" w:ascii="宋体" w:hAnsi="宋体" w:cs="宋体"/>
          <w:szCs w:val="21"/>
          <w:highlight w:val="none"/>
          <w:lang w:eastAsia="zh-TW"/>
        </w:rPr>
        <w:t>招标采购单位对已发出的招标文件进行必要修改的，应当在招标文件</w:t>
      </w:r>
      <w:r>
        <w:rPr>
          <w:rFonts w:hint="eastAsia" w:ascii="宋体" w:hAnsi="宋体" w:cs="宋体"/>
          <w:b/>
          <w:szCs w:val="21"/>
          <w:highlight w:val="none"/>
        </w:rPr>
        <w:t>投标资料表</w:t>
      </w:r>
      <w:r>
        <w:rPr>
          <w:rFonts w:hint="eastAsia" w:ascii="宋体" w:hAnsi="宋体" w:cs="宋体"/>
          <w:szCs w:val="21"/>
          <w:highlight w:val="none"/>
          <w:lang w:eastAsia="zh-TW"/>
        </w:rPr>
        <w:t>中所述提交投标文件截止时间十五日前，在</w:t>
      </w:r>
      <w:r>
        <w:rPr>
          <w:rFonts w:hint="eastAsia" w:ascii="宋体" w:hAnsi="宋体" w:cs="宋体"/>
          <w:szCs w:val="21"/>
          <w:highlight w:val="none"/>
        </w:rPr>
        <w:t>招标</w:t>
      </w:r>
      <w:r>
        <w:rPr>
          <w:rFonts w:hint="eastAsia" w:ascii="宋体" w:hAnsi="宋体" w:cs="宋体"/>
          <w:szCs w:val="21"/>
          <w:highlight w:val="none"/>
          <w:lang w:eastAsia="zh-TW"/>
        </w:rPr>
        <w:t>信息发布媒体上发布更正公告</w:t>
      </w:r>
      <w:r>
        <w:rPr>
          <w:rFonts w:hint="eastAsia" w:ascii="宋体" w:hAnsi="宋体" w:cs="宋体"/>
          <w:szCs w:val="21"/>
          <w:highlight w:val="none"/>
        </w:rPr>
        <w:t>，</w:t>
      </w:r>
      <w:r>
        <w:rPr>
          <w:rFonts w:hint="eastAsia" w:ascii="宋体" w:hAnsi="宋体" w:cs="宋体"/>
          <w:szCs w:val="21"/>
          <w:highlight w:val="none"/>
          <w:lang w:eastAsia="zh-TW"/>
        </w:rPr>
        <w:t>并以书面形式通知所有招标文件收受人。</w:t>
      </w:r>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澄清或修改时间距投标截止时间不足十五</w:t>
      </w:r>
      <w:r>
        <w:rPr>
          <w:rFonts w:hint="eastAsia" w:ascii="宋体" w:hAnsi="宋体" w:cs="宋体"/>
          <w:szCs w:val="21"/>
          <w:highlight w:val="none"/>
        </w:rPr>
        <w:t>日</w:t>
      </w:r>
      <w:r>
        <w:rPr>
          <w:rFonts w:hint="eastAsia" w:ascii="宋体" w:hAnsi="宋体" w:cs="宋体"/>
          <w:szCs w:val="21"/>
          <w:highlight w:val="none"/>
          <w:lang w:eastAsia="zh-TW"/>
        </w:rPr>
        <w:t>的</w:t>
      </w:r>
      <w:r>
        <w:rPr>
          <w:rFonts w:hint="eastAsia" w:ascii="宋体" w:hAnsi="宋体" w:cs="宋体"/>
          <w:szCs w:val="21"/>
          <w:highlight w:val="none"/>
        </w:rPr>
        <w:t>，招标人</w:t>
      </w:r>
      <w:r>
        <w:rPr>
          <w:rFonts w:hint="eastAsia" w:ascii="宋体" w:hAnsi="宋体" w:cs="宋体"/>
          <w:szCs w:val="21"/>
          <w:highlight w:val="none"/>
          <w:lang w:eastAsia="zh-TW"/>
        </w:rPr>
        <w:t>或招标代理机构在征得已获取招标文件的</w:t>
      </w:r>
      <w:r>
        <w:rPr>
          <w:rFonts w:hint="eastAsia" w:ascii="宋体" w:hAnsi="宋体" w:cs="宋体"/>
          <w:szCs w:val="21"/>
          <w:highlight w:val="none"/>
        </w:rPr>
        <w:t>潜在投标人</w:t>
      </w:r>
      <w:r>
        <w:rPr>
          <w:rFonts w:hint="eastAsia" w:ascii="宋体" w:hAnsi="宋体" w:cs="宋体"/>
          <w:szCs w:val="21"/>
          <w:highlight w:val="none"/>
          <w:lang w:eastAsia="zh-TW"/>
        </w:rPr>
        <w:t>同意并书面确认后，可不改变投标截止时间。</w:t>
      </w:r>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招标文件的修改内容是招标文件的组成部分，将以书面形式通知所有购买招标文件的潜在投标人，并对潜在投标人具有约束力。潜在投标人在收到上述通知后</w:t>
      </w:r>
      <w:r>
        <w:rPr>
          <w:rFonts w:hint="eastAsia" w:ascii="宋体" w:hAnsi="宋体" w:cs="宋体"/>
          <w:szCs w:val="21"/>
          <w:highlight w:val="none"/>
        </w:rPr>
        <w:t>，</w:t>
      </w:r>
      <w:r>
        <w:rPr>
          <w:rFonts w:hint="eastAsia" w:ascii="宋体" w:hAnsi="宋体" w:cs="宋体"/>
          <w:szCs w:val="21"/>
          <w:highlight w:val="none"/>
          <w:lang w:eastAsia="zh-TW"/>
        </w:rPr>
        <w:t>应立即以书面形式向招标采购单位确认。如在24小时之内无书面回函则视为同意修改内容，并有责任履行相应的义务。</w:t>
      </w:r>
    </w:p>
    <w:p>
      <w:pPr>
        <w:shd w:val="clear"/>
        <w:snapToGrid w:val="0"/>
        <w:spacing w:line="360" w:lineRule="auto"/>
        <w:jc w:val="center"/>
        <w:outlineLvl w:val="0"/>
        <w:rPr>
          <w:rFonts w:ascii="宋体" w:hAnsi="宋体" w:cs="宋体"/>
          <w:szCs w:val="21"/>
          <w:highlight w:val="none"/>
          <w:lang w:eastAsia="zh-TW"/>
        </w:rPr>
      </w:pPr>
    </w:p>
    <w:p>
      <w:pPr>
        <w:numPr>
          <w:ilvl w:val="0"/>
          <w:numId w:val="89"/>
        </w:numPr>
        <w:shd w:val="clear"/>
        <w:snapToGrid w:val="0"/>
        <w:spacing w:line="360" w:lineRule="auto"/>
        <w:jc w:val="center"/>
        <w:outlineLvl w:val="0"/>
        <w:rPr>
          <w:rFonts w:ascii="宋体" w:hAnsi="宋体"/>
          <w:b/>
          <w:sz w:val="28"/>
          <w:szCs w:val="28"/>
          <w:highlight w:val="none"/>
          <w:lang w:eastAsia="zh-TW"/>
        </w:rPr>
      </w:pPr>
      <w:bookmarkStart w:id="37" w:name="_Toc356482712"/>
      <w:bookmarkStart w:id="38" w:name="_Toc23142"/>
      <w:r>
        <w:rPr>
          <w:rFonts w:hint="eastAsia" w:ascii="宋体" w:hAnsi="宋体"/>
          <w:b/>
          <w:sz w:val="28"/>
          <w:szCs w:val="28"/>
          <w:highlight w:val="none"/>
          <w:lang w:eastAsia="zh-TW"/>
        </w:rPr>
        <w:t>投标文件的编制</w:t>
      </w:r>
      <w:bookmarkEnd w:id="37"/>
      <w:bookmarkEnd w:id="38"/>
    </w:p>
    <w:p>
      <w:pPr>
        <w:numPr>
          <w:ilvl w:val="0"/>
          <w:numId w:val="90"/>
        </w:numPr>
        <w:shd w:val="clear"/>
        <w:snapToGrid w:val="0"/>
        <w:spacing w:line="360" w:lineRule="auto"/>
        <w:outlineLvl w:val="0"/>
        <w:rPr>
          <w:rFonts w:ascii="宋体" w:hAnsi="宋体" w:cs="宋体"/>
          <w:b/>
          <w:bCs/>
          <w:szCs w:val="21"/>
          <w:highlight w:val="none"/>
        </w:rPr>
      </w:pPr>
      <w:bookmarkStart w:id="39" w:name="_Toc21700"/>
      <w:bookmarkStart w:id="40" w:name="_Toc356482713"/>
      <w:r>
        <w:rPr>
          <w:rFonts w:hint="eastAsia" w:ascii="宋体" w:hAnsi="宋体" w:cs="宋体"/>
          <w:b/>
          <w:bCs/>
          <w:szCs w:val="21"/>
          <w:highlight w:val="none"/>
        </w:rPr>
        <w:t>投标的语言</w:t>
      </w:r>
      <w:bookmarkEnd w:id="39"/>
      <w:bookmarkEnd w:id="40"/>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投标人提交的投标文件以及投标人与招标采购单位就有关投标的所有来往函电均应使用中文书写</w:t>
      </w:r>
      <w:r>
        <w:rPr>
          <w:rFonts w:hint="eastAsia" w:ascii="宋体" w:hAnsi="宋体" w:cs="宋体"/>
          <w:szCs w:val="21"/>
          <w:highlight w:val="none"/>
        </w:rPr>
        <w:t>。投</w:t>
      </w:r>
      <w:r>
        <w:rPr>
          <w:rFonts w:hint="eastAsia" w:ascii="宋体" w:hAnsi="宋体" w:cs="宋体"/>
          <w:szCs w:val="21"/>
          <w:highlight w:val="none"/>
          <w:lang w:eastAsia="zh-TW"/>
        </w:rPr>
        <w:t>标人提交的支持资料和己印刷的文献可以用另一种语言</w:t>
      </w:r>
      <w:r>
        <w:rPr>
          <w:rFonts w:hint="eastAsia" w:ascii="宋体" w:hAnsi="宋体" w:cs="宋体"/>
          <w:szCs w:val="21"/>
          <w:highlight w:val="none"/>
        </w:rPr>
        <w:t>，</w:t>
      </w:r>
      <w:r>
        <w:rPr>
          <w:rFonts w:hint="eastAsia" w:ascii="宋体" w:hAnsi="宋体" w:cs="宋体"/>
          <w:szCs w:val="21"/>
          <w:highlight w:val="none"/>
          <w:lang w:eastAsia="zh-TW"/>
        </w:rPr>
        <w:t>但相应内容应附有中文翻译本</w:t>
      </w:r>
      <w:r>
        <w:rPr>
          <w:rFonts w:hint="eastAsia" w:ascii="宋体" w:hAnsi="宋体" w:cs="宋体"/>
          <w:szCs w:val="21"/>
          <w:highlight w:val="none"/>
        </w:rPr>
        <w:t>，</w:t>
      </w:r>
      <w:r>
        <w:rPr>
          <w:rFonts w:hint="eastAsia" w:ascii="宋体" w:hAnsi="宋体" w:cs="宋体"/>
          <w:szCs w:val="21"/>
          <w:highlight w:val="none"/>
          <w:lang w:eastAsia="zh-TW"/>
        </w:rPr>
        <w:t>在解释投标文件的修改内容时以中文翻译本为准。对中文翻译有异议的</w:t>
      </w:r>
      <w:r>
        <w:rPr>
          <w:rFonts w:hint="eastAsia" w:ascii="宋体" w:hAnsi="宋体" w:cs="宋体"/>
          <w:szCs w:val="21"/>
          <w:highlight w:val="none"/>
        </w:rPr>
        <w:t>，</w:t>
      </w:r>
      <w:r>
        <w:rPr>
          <w:rFonts w:hint="eastAsia" w:ascii="宋体" w:hAnsi="宋体" w:cs="宋体"/>
          <w:szCs w:val="21"/>
          <w:highlight w:val="none"/>
          <w:lang w:eastAsia="zh-TW"/>
        </w:rPr>
        <w:t>以权威机构的译本为准。</w:t>
      </w:r>
    </w:p>
    <w:p>
      <w:pPr>
        <w:numPr>
          <w:ilvl w:val="0"/>
          <w:numId w:val="90"/>
        </w:numPr>
        <w:shd w:val="clear"/>
        <w:snapToGrid w:val="0"/>
        <w:spacing w:line="360" w:lineRule="auto"/>
        <w:outlineLvl w:val="0"/>
        <w:rPr>
          <w:rFonts w:ascii="宋体" w:hAnsi="宋体" w:cs="宋体"/>
          <w:b/>
          <w:bCs/>
          <w:szCs w:val="21"/>
          <w:highlight w:val="none"/>
        </w:rPr>
      </w:pPr>
      <w:bookmarkStart w:id="41" w:name="_Toc26264"/>
      <w:bookmarkStart w:id="42" w:name="_Toc356482714"/>
      <w:r>
        <w:rPr>
          <w:rFonts w:hint="eastAsia" w:ascii="宋体" w:hAnsi="宋体" w:cs="宋体"/>
          <w:b/>
          <w:bCs/>
          <w:szCs w:val="21"/>
          <w:highlight w:val="none"/>
        </w:rPr>
        <w:t>投标文件的构成</w:t>
      </w:r>
      <w:bookmarkEnd w:id="41"/>
      <w:bookmarkEnd w:id="42"/>
    </w:p>
    <w:p>
      <w:pPr>
        <w:numPr>
          <w:ilvl w:val="1"/>
          <w:numId w:val="90"/>
        </w:numPr>
        <w:shd w:val="clear"/>
        <w:snapToGrid w:val="0"/>
        <w:spacing w:line="420" w:lineRule="auto"/>
        <w:rPr>
          <w:rFonts w:ascii="宋体" w:hAnsi="宋体" w:cs="宋体"/>
          <w:szCs w:val="21"/>
          <w:highlight w:val="none"/>
          <w:lang w:eastAsia="zh-TW"/>
        </w:rPr>
      </w:pPr>
      <w:r>
        <w:rPr>
          <w:rFonts w:hint="eastAsia" w:ascii="宋体" w:hAnsi="宋体" w:cs="宋体"/>
          <w:szCs w:val="21"/>
          <w:highlight w:val="none"/>
          <w:lang w:eastAsia="zh-TW"/>
        </w:rPr>
        <w:t>投标人编写的投标文件应包括</w:t>
      </w:r>
      <w:r>
        <w:rPr>
          <w:rFonts w:hint="eastAsia" w:ascii="宋体" w:hAnsi="宋体" w:cs="宋体"/>
          <w:szCs w:val="21"/>
          <w:highlight w:val="none"/>
        </w:rPr>
        <w:t>初审文件、技术文件、商务文件</w:t>
      </w:r>
      <w:r>
        <w:rPr>
          <w:rFonts w:hint="eastAsia" w:ascii="宋体" w:hAnsi="宋体" w:cs="宋体"/>
          <w:szCs w:val="21"/>
          <w:highlight w:val="none"/>
          <w:lang w:eastAsia="zh-TW"/>
        </w:rPr>
        <w:t>，编排顺序参见投标文件格式</w:t>
      </w:r>
      <w:r>
        <w:rPr>
          <w:rFonts w:hint="eastAsia" w:ascii="宋体" w:hAnsi="宋体" w:cs="宋体"/>
          <w:szCs w:val="21"/>
          <w:highlight w:val="none"/>
        </w:rPr>
        <w:t>。</w:t>
      </w:r>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投标文件的构成应符合法律法规及招标文件的要求。</w:t>
      </w:r>
    </w:p>
    <w:p>
      <w:pPr>
        <w:numPr>
          <w:ilvl w:val="0"/>
          <w:numId w:val="90"/>
        </w:numPr>
        <w:shd w:val="clear"/>
        <w:snapToGrid w:val="0"/>
        <w:spacing w:line="360" w:lineRule="auto"/>
        <w:outlineLvl w:val="0"/>
        <w:rPr>
          <w:rFonts w:ascii="宋体" w:hAnsi="宋体" w:cs="宋体"/>
          <w:b/>
          <w:bCs/>
          <w:szCs w:val="21"/>
          <w:highlight w:val="none"/>
        </w:rPr>
      </w:pPr>
      <w:bookmarkStart w:id="43" w:name="_Toc20864"/>
      <w:bookmarkStart w:id="44" w:name="_Toc356482715"/>
      <w:r>
        <w:rPr>
          <w:rFonts w:hint="eastAsia" w:ascii="宋体" w:hAnsi="宋体" w:cs="宋体"/>
          <w:b/>
          <w:bCs/>
          <w:szCs w:val="21"/>
          <w:highlight w:val="none"/>
        </w:rPr>
        <w:t>投标文件的编写</w:t>
      </w:r>
      <w:bookmarkEnd w:id="43"/>
      <w:bookmarkEnd w:id="44"/>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投标人应完整</w:t>
      </w:r>
      <w:r>
        <w:rPr>
          <w:rFonts w:hint="eastAsia" w:ascii="宋体" w:hAnsi="宋体" w:cs="宋体"/>
          <w:szCs w:val="21"/>
          <w:highlight w:val="none"/>
        </w:rPr>
        <w:t>、真实、准确</w:t>
      </w:r>
      <w:r>
        <w:rPr>
          <w:rFonts w:hint="eastAsia" w:ascii="宋体" w:hAnsi="宋体" w:cs="宋体"/>
          <w:szCs w:val="21"/>
          <w:highlight w:val="none"/>
          <w:lang w:eastAsia="zh-TW"/>
        </w:rPr>
        <w:t>地填写招标文件中提供的投标</w:t>
      </w:r>
      <w:r>
        <w:rPr>
          <w:rFonts w:hint="eastAsia" w:ascii="宋体" w:hAnsi="宋体" w:cs="宋体"/>
          <w:szCs w:val="21"/>
          <w:highlight w:val="none"/>
        </w:rPr>
        <w:t>函</w:t>
      </w:r>
      <w:r>
        <w:rPr>
          <w:rFonts w:hint="eastAsia" w:ascii="宋体" w:hAnsi="宋体" w:cs="宋体"/>
          <w:szCs w:val="21"/>
          <w:highlight w:val="none"/>
          <w:lang w:eastAsia="zh-TW"/>
        </w:rPr>
        <w:t>、开标</w:t>
      </w:r>
      <w:r>
        <w:rPr>
          <w:rFonts w:hint="eastAsia" w:ascii="宋体" w:hAnsi="宋体" w:cs="宋体"/>
          <w:szCs w:val="21"/>
          <w:highlight w:val="none"/>
        </w:rPr>
        <w:t>记录</w:t>
      </w:r>
      <w:r>
        <w:rPr>
          <w:rFonts w:hint="eastAsia" w:ascii="宋体" w:hAnsi="宋体" w:cs="宋体"/>
          <w:szCs w:val="21"/>
          <w:highlight w:val="none"/>
          <w:lang w:eastAsia="zh-TW"/>
        </w:rPr>
        <w:t>表(报价表)、投标分项报价表（如适用）以及招标文件中规定的其它</w:t>
      </w:r>
      <w:r>
        <w:rPr>
          <w:rFonts w:hint="eastAsia" w:ascii="宋体" w:hAnsi="宋体" w:cs="宋体"/>
          <w:szCs w:val="21"/>
          <w:highlight w:val="none"/>
        </w:rPr>
        <w:t>所有</w:t>
      </w:r>
      <w:r>
        <w:rPr>
          <w:rFonts w:hint="eastAsia" w:ascii="宋体" w:hAnsi="宋体" w:cs="宋体"/>
          <w:szCs w:val="21"/>
          <w:highlight w:val="none"/>
          <w:lang w:eastAsia="zh-TW"/>
        </w:rPr>
        <w:t>内容。</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投标人对招标文件中多个包组进行投标的</w:t>
      </w:r>
      <w:r>
        <w:rPr>
          <w:rFonts w:hint="eastAsia" w:ascii="宋体" w:hAnsi="宋体" w:cs="宋体"/>
          <w:szCs w:val="21"/>
          <w:highlight w:val="none"/>
        </w:rPr>
        <w:t>，</w:t>
      </w:r>
      <w:r>
        <w:rPr>
          <w:rFonts w:hint="eastAsia" w:ascii="宋体" w:hAnsi="宋体" w:cs="宋体"/>
          <w:szCs w:val="21"/>
          <w:highlight w:val="none"/>
          <w:lang w:eastAsia="zh-TW"/>
        </w:rPr>
        <w:t>其投标文件的编制</w:t>
      </w:r>
      <w:r>
        <w:rPr>
          <w:rFonts w:hint="eastAsia" w:ascii="宋体" w:hAnsi="宋体" w:cs="宋体"/>
          <w:szCs w:val="21"/>
          <w:highlight w:val="none"/>
        </w:rPr>
        <w:t>可按</w:t>
      </w:r>
      <w:r>
        <w:rPr>
          <w:rFonts w:hint="eastAsia" w:ascii="宋体" w:hAnsi="宋体" w:cs="宋体"/>
          <w:szCs w:val="21"/>
          <w:highlight w:val="none"/>
          <w:lang w:eastAsia="zh-TW"/>
        </w:rPr>
        <w:t>每个包组的要求分别装订和封装。投标人应当对投标文件进行装订，对未经装订的投标文件可能发生的文件散落或缺损，由此造成的后果</w:t>
      </w:r>
      <w:r>
        <w:rPr>
          <w:rFonts w:hint="eastAsia" w:ascii="宋体" w:hAnsi="宋体" w:cs="宋体"/>
          <w:szCs w:val="21"/>
          <w:highlight w:val="none"/>
        </w:rPr>
        <w:t>和</w:t>
      </w:r>
      <w:r>
        <w:rPr>
          <w:rFonts w:hint="eastAsia" w:ascii="宋体" w:hAnsi="宋体" w:cs="宋体"/>
          <w:szCs w:val="21"/>
          <w:highlight w:val="none"/>
          <w:lang w:eastAsia="zh-TW"/>
        </w:rPr>
        <w:t>责任由投标人承担</w:t>
      </w:r>
      <w:r>
        <w:rPr>
          <w:rFonts w:hint="eastAsia" w:ascii="宋体" w:hAnsi="宋体" w:cs="宋体"/>
          <w:szCs w:val="21"/>
          <w:highlight w:val="none"/>
        </w:rPr>
        <w:t>。</w:t>
      </w:r>
    </w:p>
    <w:p>
      <w:pPr>
        <w:numPr>
          <w:ilvl w:val="1"/>
          <w:numId w:val="90"/>
        </w:numPr>
        <w:shd w:val="clear"/>
        <w:tabs>
          <w:tab w:val="left" w:pos="709"/>
        </w:tabs>
        <w:snapToGrid w:val="0"/>
        <w:spacing w:line="360" w:lineRule="auto"/>
        <w:rPr>
          <w:rFonts w:ascii="宋体" w:hAnsi="宋体" w:cs="宋体"/>
          <w:szCs w:val="21"/>
          <w:highlight w:val="none"/>
        </w:rPr>
      </w:pPr>
      <w:r>
        <w:rPr>
          <w:rFonts w:hint="eastAsia" w:ascii="宋体" w:hAnsi="宋体" w:cs="宋体"/>
          <w:szCs w:val="21"/>
          <w:highlight w:val="none"/>
          <w:lang w:eastAsia="zh-TW"/>
        </w:rPr>
        <w:t>投标人必须对投标文件所提供的全部资料的真实性承担法律责任，并无条件接受招标采购单位及</w:t>
      </w:r>
      <w:r>
        <w:rPr>
          <w:rFonts w:hint="eastAsia" w:ascii="宋体" w:hAnsi="宋体" w:cs="宋体"/>
          <w:szCs w:val="21"/>
          <w:highlight w:val="none"/>
        </w:rPr>
        <w:t>上级</w:t>
      </w:r>
      <w:r>
        <w:rPr>
          <w:rFonts w:hint="eastAsia" w:ascii="宋体" w:hAnsi="宋体" w:cs="宋体"/>
          <w:szCs w:val="21"/>
          <w:highlight w:val="none"/>
          <w:lang w:eastAsia="zh-TW"/>
        </w:rPr>
        <w:t>部门等对其中任何资料进行核实的要求。</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如果因为投标人</w:t>
      </w:r>
      <w:r>
        <w:rPr>
          <w:rFonts w:hint="eastAsia" w:ascii="宋体" w:hAnsi="宋体" w:cs="宋体"/>
          <w:szCs w:val="21"/>
          <w:highlight w:val="none"/>
        </w:rPr>
        <w:t>的</w:t>
      </w:r>
      <w:r>
        <w:rPr>
          <w:rFonts w:hint="eastAsia" w:ascii="宋体" w:hAnsi="宋体" w:cs="宋体"/>
          <w:szCs w:val="21"/>
          <w:highlight w:val="none"/>
          <w:lang w:eastAsia="zh-TW"/>
        </w:rPr>
        <w:t>投标文件只填写和提供了本</w:t>
      </w:r>
      <w:r>
        <w:rPr>
          <w:rFonts w:hint="eastAsia" w:ascii="宋体" w:hAnsi="宋体" w:cs="宋体"/>
          <w:szCs w:val="21"/>
          <w:highlight w:val="none"/>
        </w:rPr>
        <w:t>招标</w:t>
      </w:r>
      <w:r>
        <w:rPr>
          <w:rFonts w:hint="eastAsia" w:ascii="宋体" w:hAnsi="宋体" w:cs="宋体"/>
          <w:szCs w:val="21"/>
          <w:highlight w:val="none"/>
          <w:lang w:eastAsia="zh-TW"/>
        </w:rPr>
        <w:t>文件要求的部分内容和附件，或没有提供招标文件中所要求的全部资料及数据，由此造成的后果</w:t>
      </w:r>
      <w:r>
        <w:rPr>
          <w:rFonts w:hint="eastAsia" w:ascii="宋体" w:hAnsi="宋体" w:cs="宋体"/>
          <w:szCs w:val="21"/>
          <w:highlight w:val="none"/>
        </w:rPr>
        <w:t>和</w:t>
      </w:r>
      <w:r>
        <w:rPr>
          <w:rFonts w:hint="eastAsia" w:ascii="宋体" w:hAnsi="宋体" w:cs="宋体"/>
          <w:szCs w:val="21"/>
          <w:highlight w:val="none"/>
          <w:lang w:eastAsia="zh-TW"/>
        </w:rPr>
        <w:t>责任由投标人承担</w:t>
      </w:r>
      <w:r>
        <w:rPr>
          <w:rFonts w:hint="eastAsia" w:ascii="宋体" w:hAnsi="宋体" w:cs="宋体"/>
          <w:szCs w:val="21"/>
          <w:highlight w:val="none"/>
        </w:rPr>
        <w:t>。</w:t>
      </w:r>
    </w:p>
    <w:p>
      <w:pPr>
        <w:numPr>
          <w:ilvl w:val="0"/>
          <w:numId w:val="90"/>
        </w:numPr>
        <w:shd w:val="clear"/>
        <w:snapToGrid w:val="0"/>
        <w:spacing w:line="360" w:lineRule="auto"/>
        <w:outlineLvl w:val="0"/>
        <w:rPr>
          <w:rFonts w:ascii="宋体" w:hAnsi="宋体" w:cs="宋体"/>
          <w:b/>
          <w:bCs/>
          <w:szCs w:val="21"/>
          <w:highlight w:val="none"/>
        </w:rPr>
      </w:pPr>
      <w:bookmarkStart w:id="45" w:name="_Toc356482716"/>
      <w:bookmarkStart w:id="46" w:name="_Toc1552"/>
      <w:r>
        <w:rPr>
          <w:rFonts w:hint="eastAsia" w:ascii="宋体" w:hAnsi="宋体" w:cs="宋体"/>
          <w:b/>
          <w:bCs/>
          <w:szCs w:val="21"/>
          <w:highlight w:val="none"/>
        </w:rPr>
        <w:t>投标报价</w:t>
      </w:r>
      <w:bookmarkEnd w:id="45"/>
      <w:bookmarkEnd w:id="46"/>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投标人应按照“第</w:t>
      </w:r>
      <w:r>
        <w:rPr>
          <w:rFonts w:hint="eastAsia" w:ascii="宋体" w:hAnsi="宋体" w:cs="宋体"/>
          <w:szCs w:val="21"/>
          <w:highlight w:val="none"/>
        </w:rPr>
        <w:t>三</w:t>
      </w:r>
      <w:r>
        <w:rPr>
          <w:rFonts w:hint="eastAsia" w:ascii="宋体" w:hAnsi="宋体" w:cs="宋体"/>
          <w:szCs w:val="21"/>
          <w:highlight w:val="none"/>
          <w:lang w:eastAsia="zh-TW"/>
        </w:rPr>
        <w:t>章　用户需求书”</w:t>
      </w:r>
      <w:r>
        <w:rPr>
          <w:rFonts w:hint="eastAsia" w:ascii="宋体" w:hAnsi="宋体" w:cs="宋体"/>
          <w:szCs w:val="21"/>
          <w:highlight w:val="none"/>
        </w:rPr>
        <w:t>中</w:t>
      </w:r>
      <w:r>
        <w:rPr>
          <w:rFonts w:hint="eastAsia" w:ascii="宋体" w:hAnsi="宋体" w:cs="宋体"/>
          <w:szCs w:val="21"/>
          <w:highlight w:val="none"/>
          <w:lang w:eastAsia="zh-TW"/>
        </w:rPr>
        <w:t>采购项目技术规格、参数及要求规定的内容、责任范围进行报价。并按《</w:t>
      </w:r>
      <w:r>
        <w:rPr>
          <w:rFonts w:hint="eastAsia" w:ascii="宋体" w:hAnsi="宋体" w:cs="宋体"/>
          <w:szCs w:val="21"/>
          <w:highlight w:val="none"/>
        </w:rPr>
        <w:t>开标记录表（报价表）</w:t>
      </w:r>
      <w:r>
        <w:rPr>
          <w:rFonts w:hint="eastAsia" w:ascii="宋体" w:hAnsi="宋体" w:cs="宋体"/>
          <w:szCs w:val="21"/>
          <w:highlight w:val="none"/>
          <w:lang w:eastAsia="zh-TW"/>
        </w:rPr>
        <w:t>》</w:t>
      </w:r>
      <w:r>
        <w:rPr>
          <w:rFonts w:hint="eastAsia" w:ascii="宋体" w:hAnsi="宋体" w:cs="宋体"/>
          <w:szCs w:val="21"/>
          <w:highlight w:val="none"/>
        </w:rPr>
        <w:t>及</w:t>
      </w:r>
      <w:r>
        <w:rPr>
          <w:rFonts w:hint="eastAsia" w:ascii="宋体" w:hAnsi="宋体" w:cs="宋体"/>
          <w:szCs w:val="21"/>
          <w:highlight w:val="none"/>
          <w:lang w:eastAsia="zh-TW"/>
        </w:rPr>
        <w:t>《投标分项报价表》（如适用）的</w:t>
      </w:r>
      <w:r>
        <w:rPr>
          <w:rFonts w:hint="eastAsia" w:ascii="宋体" w:hAnsi="宋体" w:cs="宋体"/>
          <w:szCs w:val="21"/>
          <w:highlight w:val="none"/>
        </w:rPr>
        <w:t>要求</w:t>
      </w:r>
      <w:r>
        <w:rPr>
          <w:rFonts w:hint="eastAsia" w:ascii="宋体" w:hAnsi="宋体" w:cs="宋体"/>
          <w:szCs w:val="21"/>
          <w:highlight w:val="none"/>
          <w:lang w:eastAsia="zh-TW"/>
        </w:rPr>
        <w:t>报出总价和分项价格。投标总价中不得包含招标文件要求以外的内容，否则，在评标时不予核减。投标总价中也不得缺漏招标文件所要求的内容，否则，被视为</w:t>
      </w:r>
      <w:r>
        <w:rPr>
          <w:rFonts w:hint="eastAsia" w:ascii="宋体" w:hAnsi="宋体" w:cs="宋体"/>
          <w:szCs w:val="21"/>
          <w:highlight w:val="none"/>
        </w:rPr>
        <w:t>包含在投标报价中</w:t>
      </w:r>
      <w:r>
        <w:rPr>
          <w:rFonts w:hint="eastAsia" w:ascii="宋体" w:hAnsi="宋体" w:cs="宋体"/>
          <w:szCs w:val="21"/>
          <w:highlight w:val="none"/>
          <w:lang w:eastAsia="zh-TW"/>
        </w:rPr>
        <w:t>。</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投标分项报价表</w:t>
      </w:r>
      <w:r>
        <w:rPr>
          <w:rFonts w:hint="eastAsia" w:ascii="宋体" w:hAnsi="宋体" w:cs="宋体"/>
          <w:szCs w:val="21"/>
          <w:highlight w:val="none"/>
        </w:rPr>
        <w:t>内容应包含：</w:t>
      </w:r>
    </w:p>
    <w:p>
      <w:pPr>
        <w:numPr>
          <w:ilvl w:val="3"/>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投标产品</w:t>
      </w:r>
      <w:r>
        <w:rPr>
          <w:rFonts w:hint="eastAsia" w:ascii="宋体" w:hAnsi="宋体" w:cs="宋体"/>
          <w:szCs w:val="21"/>
          <w:highlight w:val="none"/>
        </w:rPr>
        <w:t>价</w:t>
      </w:r>
      <w:r>
        <w:rPr>
          <w:rFonts w:hint="eastAsia" w:ascii="宋体" w:hAnsi="宋体" w:cs="宋体"/>
          <w:szCs w:val="21"/>
          <w:highlight w:val="none"/>
          <w:lang w:eastAsia="zh-TW"/>
        </w:rPr>
        <w:t>；</w:t>
      </w:r>
    </w:p>
    <w:p>
      <w:pPr>
        <w:numPr>
          <w:ilvl w:val="3"/>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除应包括要向中华人民共和国政府缴纳的增值税和其它税，还应包括对以下①、②两项</w:t>
      </w:r>
      <w:r>
        <w:rPr>
          <w:rFonts w:hint="eastAsia" w:ascii="宋体" w:hAnsi="宋体" w:cs="宋体"/>
          <w:szCs w:val="21"/>
          <w:highlight w:val="none"/>
        </w:rPr>
        <w:t>已</w:t>
      </w:r>
      <w:r>
        <w:rPr>
          <w:rFonts w:hint="eastAsia" w:ascii="宋体" w:hAnsi="宋体" w:cs="宋体"/>
          <w:szCs w:val="21"/>
          <w:highlight w:val="none"/>
          <w:lang w:eastAsia="zh-TW"/>
        </w:rPr>
        <w:t>交纳或应交纳的全部关税、增值税和其它税</w:t>
      </w:r>
      <w:r>
        <w:rPr>
          <w:rFonts w:hint="eastAsia" w:ascii="宋体" w:hAnsi="宋体" w:cs="宋体"/>
          <w:szCs w:val="21"/>
          <w:highlight w:val="none"/>
        </w:rPr>
        <w:t>：</w:t>
      </w:r>
    </w:p>
    <w:p>
      <w:pPr>
        <w:shd w:val="clear"/>
        <w:tabs>
          <w:tab w:val="left" w:pos="567"/>
          <w:tab w:val="left" w:pos="676"/>
          <w:tab w:val="left" w:pos="8931"/>
        </w:tabs>
        <w:snapToGrid w:val="0"/>
        <w:spacing w:line="360" w:lineRule="auto"/>
        <w:ind w:left="881" w:leftChars="393" w:hanging="56" w:hangingChars="27"/>
        <w:rPr>
          <w:rFonts w:ascii="宋体" w:hAnsi="宋体" w:cs="宋体"/>
          <w:szCs w:val="21"/>
          <w:highlight w:val="none"/>
        </w:rPr>
      </w:pPr>
      <w:r>
        <w:rPr>
          <w:rFonts w:hint="eastAsia" w:ascii="宋体" w:hAnsi="宋体" w:cs="宋体"/>
          <w:szCs w:val="21"/>
          <w:highlight w:val="none"/>
          <w:lang w:eastAsia="zh-TW"/>
        </w:rPr>
        <w:t>①</w:t>
      </w:r>
      <w:r>
        <w:rPr>
          <w:rFonts w:hint="eastAsia" w:ascii="宋体" w:hAnsi="宋体" w:cs="宋体"/>
          <w:szCs w:val="21"/>
          <w:highlight w:val="none"/>
        </w:rPr>
        <w:t xml:space="preserve"> </w:t>
      </w:r>
      <w:r>
        <w:rPr>
          <w:rFonts w:hint="eastAsia" w:ascii="宋体" w:hAnsi="宋体" w:cs="宋体"/>
          <w:szCs w:val="21"/>
          <w:highlight w:val="none"/>
          <w:lang w:eastAsia="zh-TW"/>
        </w:rPr>
        <w:t>报价的货物在制造或组装时使用的部件和原材料是从境外进口的</w:t>
      </w:r>
      <w:r>
        <w:rPr>
          <w:rFonts w:hint="eastAsia" w:ascii="宋体" w:hAnsi="宋体" w:cs="宋体"/>
          <w:szCs w:val="21"/>
          <w:highlight w:val="none"/>
        </w:rPr>
        <w:t>；</w:t>
      </w:r>
      <w:r>
        <w:rPr>
          <w:rFonts w:hint="eastAsia" w:ascii="宋体" w:hAnsi="宋体" w:cs="宋体"/>
          <w:szCs w:val="21"/>
          <w:highlight w:val="none"/>
          <w:lang w:eastAsia="zh-TW"/>
        </w:rPr>
        <w:t>或</w:t>
      </w:r>
    </w:p>
    <w:p>
      <w:pPr>
        <w:shd w:val="clear"/>
        <w:tabs>
          <w:tab w:val="left" w:pos="567"/>
          <w:tab w:val="left" w:pos="676"/>
        </w:tabs>
        <w:snapToGrid w:val="0"/>
        <w:spacing w:line="360" w:lineRule="auto"/>
        <w:ind w:left="881" w:leftChars="393" w:hanging="56" w:hangingChars="27"/>
        <w:rPr>
          <w:rFonts w:ascii="宋体" w:hAnsi="宋体" w:cs="宋体"/>
          <w:szCs w:val="21"/>
          <w:highlight w:val="none"/>
        </w:rPr>
      </w:pPr>
      <w:r>
        <w:rPr>
          <w:rFonts w:hint="eastAsia" w:ascii="宋体" w:hAnsi="宋体" w:cs="宋体"/>
          <w:szCs w:val="21"/>
          <w:highlight w:val="none"/>
          <w:lang w:eastAsia="zh-TW"/>
        </w:rPr>
        <w:t>②</w:t>
      </w:r>
      <w:r>
        <w:rPr>
          <w:rFonts w:hint="eastAsia" w:ascii="宋体" w:hAnsi="宋体" w:cs="宋体"/>
          <w:szCs w:val="21"/>
          <w:highlight w:val="none"/>
        </w:rPr>
        <w:t xml:space="preserve"> </w:t>
      </w:r>
      <w:r>
        <w:rPr>
          <w:rFonts w:hint="eastAsia" w:ascii="宋体" w:hAnsi="宋体" w:cs="宋体"/>
          <w:szCs w:val="21"/>
          <w:highlight w:val="none"/>
          <w:lang w:eastAsia="zh-TW"/>
        </w:rPr>
        <w:t>报货架交货价的货物是从境外进口的。</w:t>
      </w:r>
    </w:p>
    <w:p>
      <w:pPr>
        <w:numPr>
          <w:ilvl w:val="3"/>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报</w:t>
      </w:r>
      <w:r>
        <w:rPr>
          <w:rFonts w:hint="eastAsia" w:ascii="宋体" w:hAnsi="宋体" w:cs="宋体"/>
          <w:b/>
          <w:szCs w:val="21"/>
          <w:highlight w:val="none"/>
          <w:lang w:eastAsia="zh-TW"/>
        </w:rPr>
        <w:t>投标资料表</w:t>
      </w:r>
      <w:r>
        <w:rPr>
          <w:rFonts w:hint="eastAsia" w:ascii="宋体" w:hAnsi="宋体" w:cs="宋体"/>
          <w:szCs w:val="21"/>
          <w:highlight w:val="none"/>
          <w:lang w:eastAsia="zh-TW"/>
        </w:rPr>
        <w:t>中列出的其他伴随服务的费用和标准附件价、备品备件及专用工具价</w:t>
      </w:r>
      <w:r>
        <w:rPr>
          <w:rFonts w:hint="eastAsia" w:ascii="宋体" w:hAnsi="宋体" w:cs="宋体"/>
          <w:szCs w:val="21"/>
          <w:highlight w:val="none"/>
        </w:rPr>
        <w:t>(</w:t>
      </w:r>
      <w:r>
        <w:rPr>
          <w:rFonts w:hint="eastAsia" w:ascii="宋体" w:hAnsi="宋体" w:cs="宋体"/>
          <w:szCs w:val="21"/>
          <w:highlight w:val="none"/>
          <w:lang w:eastAsia="zh-TW"/>
        </w:rPr>
        <w:t>如</w:t>
      </w:r>
      <w:r>
        <w:rPr>
          <w:rFonts w:hint="eastAsia" w:ascii="宋体" w:hAnsi="宋体" w:cs="宋体"/>
          <w:szCs w:val="21"/>
          <w:highlight w:val="none"/>
        </w:rPr>
        <w:t>有)。</w:t>
      </w:r>
    </w:p>
    <w:p>
      <w:pPr>
        <w:numPr>
          <w:ilvl w:val="2"/>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从中华人民共和国境外提供的货物须包含：</w:t>
      </w:r>
    </w:p>
    <w:p>
      <w:pPr>
        <w:numPr>
          <w:ilvl w:val="3"/>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投标产品价；</w:t>
      </w:r>
    </w:p>
    <w:p>
      <w:pPr>
        <w:numPr>
          <w:ilvl w:val="3"/>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除</w:t>
      </w:r>
      <w:r>
        <w:rPr>
          <w:rFonts w:hint="eastAsia" w:ascii="宋体" w:hAnsi="宋体" w:cs="宋体"/>
          <w:szCs w:val="21"/>
          <w:highlight w:val="none"/>
          <w:lang w:eastAsia="zh-TW"/>
        </w:rPr>
        <w:t>应包括要向中华人民共和国政府缴纳的增值税和其它税</w:t>
      </w:r>
      <w:r>
        <w:rPr>
          <w:rFonts w:hint="eastAsia" w:ascii="宋体" w:hAnsi="宋体" w:cs="宋体"/>
          <w:szCs w:val="21"/>
          <w:highlight w:val="none"/>
        </w:rPr>
        <w:t>，</w:t>
      </w:r>
      <w:r>
        <w:rPr>
          <w:rFonts w:hint="eastAsia" w:ascii="宋体" w:hAnsi="宋体" w:cs="宋体"/>
          <w:szCs w:val="21"/>
          <w:highlight w:val="none"/>
          <w:lang w:eastAsia="zh-TW"/>
        </w:rPr>
        <w:t>如果</w:t>
      </w:r>
      <w:r>
        <w:rPr>
          <w:rFonts w:hint="eastAsia" w:ascii="宋体" w:hAnsi="宋体" w:cs="宋体"/>
          <w:b/>
          <w:szCs w:val="21"/>
          <w:highlight w:val="none"/>
          <w:lang w:eastAsia="zh-TW"/>
        </w:rPr>
        <w:t>投标资料表</w:t>
      </w:r>
      <w:r>
        <w:rPr>
          <w:rFonts w:hint="eastAsia" w:ascii="宋体" w:hAnsi="宋体" w:cs="宋体"/>
          <w:szCs w:val="21"/>
          <w:highlight w:val="none"/>
          <w:lang w:eastAsia="zh-TW"/>
        </w:rPr>
        <w:t>中另有规定</w:t>
      </w:r>
      <w:r>
        <w:rPr>
          <w:rFonts w:hint="eastAsia" w:ascii="宋体" w:hAnsi="宋体" w:cs="宋体"/>
          <w:szCs w:val="21"/>
          <w:highlight w:val="none"/>
        </w:rPr>
        <w:t>，还应包括货物从境外进口已</w:t>
      </w:r>
      <w:r>
        <w:rPr>
          <w:rFonts w:hint="eastAsia" w:ascii="宋体" w:hAnsi="宋体" w:cs="宋体"/>
          <w:szCs w:val="21"/>
          <w:highlight w:val="none"/>
          <w:lang w:eastAsia="zh-TW"/>
        </w:rPr>
        <w:t>交纳或应交纳的全部关税、增值税和其它税</w:t>
      </w:r>
      <w:r>
        <w:rPr>
          <w:rFonts w:hint="eastAsia" w:ascii="宋体" w:hAnsi="宋体" w:cs="宋体"/>
          <w:szCs w:val="21"/>
          <w:highlight w:val="none"/>
        </w:rPr>
        <w:t>；</w:t>
      </w:r>
    </w:p>
    <w:p>
      <w:pPr>
        <w:numPr>
          <w:ilvl w:val="3"/>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报货物境外离岸价格、国外运输费、国外运输保险费；</w:t>
      </w:r>
    </w:p>
    <w:p>
      <w:pPr>
        <w:numPr>
          <w:ilvl w:val="3"/>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报</w:t>
      </w:r>
      <w:r>
        <w:rPr>
          <w:rFonts w:hint="eastAsia" w:ascii="宋体" w:hAnsi="宋体" w:cs="宋体"/>
          <w:b/>
          <w:szCs w:val="21"/>
          <w:highlight w:val="none"/>
          <w:lang w:eastAsia="zh-TW"/>
        </w:rPr>
        <w:t>投标资料表</w:t>
      </w:r>
      <w:r>
        <w:rPr>
          <w:rFonts w:hint="eastAsia" w:ascii="宋体" w:hAnsi="宋体" w:cs="宋体"/>
          <w:szCs w:val="21"/>
          <w:highlight w:val="none"/>
          <w:lang w:eastAsia="zh-TW"/>
        </w:rPr>
        <w:t>中列出的其他伴随服务费用和标准附件价、备品备件及专用工具价</w:t>
      </w:r>
      <w:r>
        <w:rPr>
          <w:rFonts w:hint="eastAsia" w:ascii="宋体" w:hAnsi="宋体" w:cs="宋体"/>
          <w:szCs w:val="21"/>
          <w:highlight w:val="none"/>
        </w:rPr>
        <w:t>(</w:t>
      </w:r>
      <w:r>
        <w:rPr>
          <w:rFonts w:hint="eastAsia" w:ascii="宋体" w:hAnsi="宋体" w:cs="宋体"/>
          <w:szCs w:val="21"/>
          <w:highlight w:val="none"/>
          <w:lang w:eastAsia="zh-TW"/>
        </w:rPr>
        <w:t>如有</w:t>
      </w:r>
      <w:r>
        <w:rPr>
          <w:rFonts w:hint="eastAsia" w:ascii="宋体" w:hAnsi="宋体" w:cs="宋体"/>
          <w:szCs w:val="21"/>
          <w:highlight w:val="none"/>
        </w:rPr>
        <w:t>)。</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对于报价免费的</w:t>
      </w:r>
      <w:r>
        <w:rPr>
          <w:rFonts w:hint="eastAsia" w:ascii="宋体" w:hAnsi="宋体" w:cs="宋体"/>
          <w:szCs w:val="21"/>
          <w:highlight w:val="none"/>
        </w:rPr>
        <w:t>内容</w:t>
      </w:r>
      <w:r>
        <w:rPr>
          <w:rFonts w:hint="eastAsia" w:ascii="宋体" w:hAnsi="宋体" w:cs="宋体"/>
          <w:szCs w:val="21"/>
          <w:highlight w:val="none"/>
          <w:lang w:eastAsia="zh-TW"/>
        </w:rPr>
        <w:t>须标明“免费”。</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投标人根据本须知</w:t>
      </w:r>
      <w:r>
        <w:rPr>
          <w:rFonts w:hint="eastAsia" w:ascii="宋体" w:hAnsi="宋体" w:cs="宋体"/>
          <w:szCs w:val="21"/>
          <w:highlight w:val="none"/>
        </w:rPr>
        <w:t>第12.2条</w:t>
      </w:r>
      <w:r>
        <w:rPr>
          <w:rFonts w:hint="eastAsia" w:ascii="宋体" w:hAnsi="宋体" w:cs="宋体"/>
          <w:szCs w:val="21"/>
          <w:highlight w:val="none"/>
          <w:lang w:eastAsia="zh-TW"/>
        </w:rPr>
        <w:t>的规定将投标</w:t>
      </w:r>
      <w:r>
        <w:rPr>
          <w:rFonts w:hint="eastAsia" w:ascii="宋体" w:hAnsi="宋体" w:cs="宋体"/>
          <w:szCs w:val="21"/>
          <w:highlight w:val="none"/>
        </w:rPr>
        <w:t>报</w:t>
      </w:r>
      <w:r>
        <w:rPr>
          <w:rFonts w:hint="eastAsia" w:ascii="宋体" w:hAnsi="宋体" w:cs="宋体"/>
          <w:szCs w:val="21"/>
          <w:highlight w:val="none"/>
          <w:lang w:eastAsia="zh-TW"/>
        </w:rPr>
        <w:t>价分成几部分</w:t>
      </w:r>
      <w:r>
        <w:rPr>
          <w:rFonts w:hint="eastAsia" w:ascii="宋体" w:hAnsi="宋体" w:cs="宋体"/>
          <w:szCs w:val="21"/>
          <w:highlight w:val="none"/>
        </w:rPr>
        <w:t>，</w:t>
      </w:r>
      <w:r>
        <w:rPr>
          <w:rFonts w:hint="eastAsia" w:ascii="宋体" w:hAnsi="宋体" w:cs="宋体"/>
          <w:szCs w:val="21"/>
          <w:highlight w:val="none"/>
          <w:lang w:eastAsia="zh-TW"/>
        </w:rPr>
        <w:t>只是为了方便对</w:t>
      </w:r>
      <w:r>
        <w:rPr>
          <w:rFonts w:hint="eastAsia" w:ascii="宋体" w:hAnsi="宋体" w:cs="宋体"/>
          <w:szCs w:val="21"/>
          <w:highlight w:val="none"/>
        </w:rPr>
        <w:t>投标文件进行比较，</w:t>
      </w:r>
      <w:r>
        <w:rPr>
          <w:rFonts w:hint="eastAsia" w:ascii="宋体" w:hAnsi="宋体" w:cs="宋体"/>
          <w:szCs w:val="21"/>
          <w:highlight w:val="none"/>
          <w:lang w:eastAsia="zh-TW"/>
        </w:rPr>
        <w:t>并不限制招标人以上述任何条件订立合同的权力。</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除</w:t>
      </w:r>
      <w:r>
        <w:rPr>
          <w:rFonts w:hint="eastAsia" w:ascii="宋体" w:hAnsi="宋体" w:cs="宋体"/>
          <w:b/>
          <w:szCs w:val="21"/>
          <w:highlight w:val="none"/>
        </w:rPr>
        <w:t>投标资料表</w:t>
      </w:r>
      <w:r>
        <w:rPr>
          <w:rFonts w:hint="eastAsia" w:ascii="宋体" w:hAnsi="宋体" w:cs="宋体"/>
          <w:szCs w:val="21"/>
          <w:highlight w:val="none"/>
        </w:rPr>
        <w:t>中另有规定，</w:t>
      </w:r>
      <w:r>
        <w:rPr>
          <w:rFonts w:hint="eastAsia" w:ascii="宋体" w:hAnsi="宋体" w:cs="宋体"/>
          <w:szCs w:val="21"/>
          <w:highlight w:val="none"/>
          <w:lang w:eastAsia="zh-TW"/>
        </w:rPr>
        <w:t>投标人所报的投标价在合同执行过程中是固定不变的</w:t>
      </w:r>
      <w:r>
        <w:rPr>
          <w:rFonts w:hint="eastAsia" w:ascii="宋体" w:hAnsi="宋体" w:cs="宋体"/>
          <w:szCs w:val="21"/>
          <w:highlight w:val="none"/>
        </w:rPr>
        <w:t>，</w:t>
      </w:r>
      <w:r>
        <w:rPr>
          <w:rFonts w:hint="eastAsia" w:ascii="宋体" w:hAnsi="宋体" w:cs="宋体"/>
          <w:szCs w:val="21"/>
          <w:highlight w:val="none"/>
          <w:lang w:eastAsia="zh-TW"/>
        </w:rPr>
        <w:t>不得以任何理由予以变更。任何包含价格调整要求的投标被认为是非实质性响应投标而予以拒绝。</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除</w:t>
      </w:r>
      <w:r>
        <w:rPr>
          <w:rFonts w:hint="eastAsia" w:ascii="宋体" w:hAnsi="宋体" w:cs="宋体"/>
          <w:b/>
          <w:szCs w:val="21"/>
          <w:highlight w:val="none"/>
        </w:rPr>
        <w:t>投标资料表</w:t>
      </w:r>
      <w:r>
        <w:rPr>
          <w:rFonts w:hint="eastAsia" w:ascii="宋体" w:hAnsi="宋体" w:cs="宋体"/>
          <w:szCs w:val="21"/>
          <w:highlight w:val="none"/>
        </w:rPr>
        <w:t>中允许有备选方案外，本次招标不接受选择性报价，否则将被视为无效投标。</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除</w:t>
      </w:r>
      <w:r>
        <w:rPr>
          <w:rFonts w:hint="eastAsia" w:ascii="宋体" w:hAnsi="宋体" w:cs="宋体"/>
          <w:b/>
          <w:szCs w:val="21"/>
          <w:highlight w:val="none"/>
        </w:rPr>
        <w:t>投标资料表</w:t>
      </w:r>
      <w:r>
        <w:rPr>
          <w:rFonts w:hint="eastAsia" w:ascii="宋体" w:hAnsi="宋体" w:cs="宋体"/>
          <w:szCs w:val="21"/>
          <w:highlight w:val="none"/>
        </w:rPr>
        <w:t>另有规定外，本次招标不接受具有附加条件的报价，否则将被视为无效投标。</w:t>
      </w:r>
    </w:p>
    <w:p>
      <w:pPr>
        <w:numPr>
          <w:ilvl w:val="0"/>
          <w:numId w:val="90"/>
        </w:numPr>
        <w:shd w:val="clear"/>
        <w:snapToGrid w:val="0"/>
        <w:spacing w:line="360" w:lineRule="auto"/>
        <w:outlineLvl w:val="0"/>
        <w:rPr>
          <w:rFonts w:ascii="宋体" w:hAnsi="宋体" w:cs="宋体"/>
          <w:b/>
          <w:bCs/>
          <w:szCs w:val="21"/>
          <w:highlight w:val="none"/>
        </w:rPr>
      </w:pPr>
      <w:bookmarkStart w:id="47" w:name="_Toc356482717"/>
      <w:bookmarkStart w:id="48" w:name="_Toc17723"/>
      <w:r>
        <w:rPr>
          <w:rFonts w:hint="eastAsia" w:ascii="宋体" w:hAnsi="宋体" w:cs="宋体"/>
          <w:b/>
          <w:bCs/>
          <w:szCs w:val="21"/>
          <w:highlight w:val="none"/>
        </w:rPr>
        <w:t>投标货币</w:t>
      </w:r>
      <w:bookmarkEnd w:id="47"/>
      <w:bookmarkEnd w:id="48"/>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投标人所提供的货物和服务均应以人民币报价。</w:t>
      </w:r>
    </w:p>
    <w:p>
      <w:pPr>
        <w:numPr>
          <w:ilvl w:val="0"/>
          <w:numId w:val="90"/>
        </w:numPr>
        <w:shd w:val="clear"/>
        <w:snapToGrid w:val="0"/>
        <w:spacing w:line="360" w:lineRule="auto"/>
        <w:outlineLvl w:val="0"/>
        <w:rPr>
          <w:rFonts w:ascii="宋体" w:hAnsi="宋体" w:cs="宋体"/>
          <w:b/>
          <w:bCs/>
          <w:szCs w:val="21"/>
          <w:highlight w:val="none"/>
        </w:rPr>
      </w:pPr>
      <w:bookmarkStart w:id="49" w:name="_Toc356482718"/>
      <w:bookmarkStart w:id="50" w:name="_Toc31516"/>
      <w:r>
        <w:rPr>
          <w:rFonts w:hint="eastAsia" w:ascii="宋体" w:hAnsi="宋体" w:cs="宋体"/>
          <w:b/>
          <w:bCs/>
          <w:szCs w:val="21"/>
          <w:highlight w:val="none"/>
        </w:rPr>
        <w:t>本项目不接受联合体投标</w:t>
      </w:r>
      <w:bookmarkEnd w:id="49"/>
      <w:bookmarkEnd w:id="50"/>
    </w:p>
    <w:p>
      <w:pPr>
        <w:numPr>
          <w:ilvl w:val="0"/>
          <w:numId w:val="90"/>
        </w:numPr>
        <w:shd w:val="clear"/>
        <w:snapToGrid w:val="0"/>
        <w:spacing w:line="360" w:lineRule="auto"/>
        <w:outlineLvl w:val="0"/>
        <w:rPr>
          <w:rFonts w:ascii="宋体" w:hAnsi="宋体" w:cs="宋体"/>
          <w:b/>
          <w:bCs/>
          <w:szCs w:val="21"/>
          <w:highlight w:val="none"/>
        </w:rPr>
      </w:pPr>
      <w:bookmarkStart w:id="51" w:name="_Toc356482719"/>
      <w:bookmarkStart w:id="52" w:name="_Toc8575"/>
      <w:r>
        <w:rPr>
          <w:rFonts w:hint="eastAsia" w:ascii="宋体" w:hAnsi="宋体" w:cs="宋体"/>
          <w:b/>
          <w:bCs/>
          <w:szCs w:val="21"/>
          <w:highlight w:val="none"/>
        </w:rPr>
        <w:t>证明投标人合格和资格的文件</w:t>
      </w:r>
      <w:bookmarkEnd w:id="51"/>
      <w:bookmarkEnd w:id="52"/>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投标人应提交证明其有资格参加投标和中标后有能力履行合同的文件</w:t>
      </w:r>
      <w:r>
        <w:rPr>
          <w:rFonts w:hint="eastAsia" w:ascii="宋体" w:hAnsi="宋体" w:cs="宋体"/>
          <w:szCs w:val="21"/>
          <w:highlight w:val="none"/>
        </w:rPr>
        <w:t>，</w:t>
      </w:r>
      <w:r>
        <w:rPr>
          <w:rFonts w:hint="eastAsia" w:ascii="宋体" w:hAnsi="宋体" w:cs="宋体"/>
          <w:szCs w:val="21"/>
          <w:highlight w:val="none"/>
          <w:lang w:eastAsia="zh-TW"/>
        </w:rPr>
        <w:t>并作为其投标文件的一部分。如果投标人为联合体</w:t>
      </w:r>
      <w:r>
        <w:rPr>
          <w:rFonts w:hint="eastAsia" w:ascii="宋体" w:hAnsi="宋体" w:cs="宋体"/>
          <w:szCs w:val="21"/>
          <w:highlight w:val="none"/>
        </w:rPr>
        <w:t>，</w:t>
      </w:r>
      <w:r>
        <w:rPr>
          <w:rFonts w:hint="eastAsia" w:ascii="宋体" w:hAnsi="宋体" w:cs="宋体"/>
          <w:szCs w:val="21"/>
          <w:highlight w:val="none"/>
          <w:lang w:eastAsia="zh-TW"/>
        </w:rPr>
        <w:t>应提交联合体各方的资格证明文件、</w:t>
      </w:r>
      <w:r>
        <w:rPr>
          <w:rFonts w:hint="eastAsia" w:ascii="宋体" w:hAnsi="宋体" w:cs="宋体"/>
          <w:szCs w:val="21"/>
          <w:highlight w:val="none"/>
        </w:rPr>
        <w:t>共同投标协议</w:t>
      </w:r>
      <w:r>
        <w:rPr>
          <w:rFonts w:hint="eastAsia" w:ascii="宋体" w:hAnsi="宋体" w:cs="宋体"/>
          <w:szCs w:val="21"/>
          <w:highlight w:val="none"/>
          <w:lang w:eastAsia="zh-TW"/>
        </w:rPr>
        <w:t>并注明主体方</w:t>
      </w:r>
      <w:r>
        <w:rPr>
          <w:rFonts w:hint="eastAsia" w:ascii="宋体" w:hAnsi="宋体" w:cs="宋体"/>
          <w:szCs w:val="21"/>
          <w:highlight w:val="none"/>
        </w:rPr>
        <w:t>及各方拟承担的工作和责任。</w:t>
      </w:r>
      <w:r>
        <w:rPr>
          <w:rFonts w:hint="eastAsia" w:ascii="宋体" w:hAnsi="宋体" w:cs="宋体"/>
          <w:szCs w:val="21"/>
          <w:highlight w:val="none"/>
          <w:lang w:eastAsia="zh-TW"/>
        </w:rPr>
        <w:t>否则</w:t>
      </w:r>
      <w:r>
        <w:rPr>
          <w:rFonts w:hint="eastAsia" w:ascii="宋体" w:hAnsi="宋体" w:cs="宋体"/>
          <w:szCs w:val="21"/>
          <w:highlight w:val="none"/>
        </w:rPr>
        <w:t>，</w:t>
      </w:r>
      <w:r>
        <w:rPr>
          <w:rFonts w:hint="eastAsia" w:ascii="宋体" w:hAnsi="宋体" w:cs="宋体"/>
          <w:szCs w:val="21"/>
          <w:highlight w:val="none"/>
          <w:lang w:eastAsia="zh-TW"/>
        </w:rPr>
        <w:t>将导致其投标</w:t>
      </w:r>
      <w:r>
        <w:rPr>
          <w:rFonts w:hint="eastAsia" w:ascii="宋体" w:hAnsi="宋体" w:cs="宋体"/>
          <w:szCs w:val="21"/>
          <w:highlight w:val="none"/>
        </w:rPr>
        <w:t>无效。</w:t>
      </w:r>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投标人提交的资格证明文件应证明其</w:t>
      </w:r>
      <w:r>
        <w:rPr>
          <w:rFonts w:hint="eastAsia" w:ascii="宋体" w:hAnsi="宋体" w:cs="宋体"/>
          <w:szCs w:val="21"/>
          <w:highlight w:val="none"/>
        </w:rPr>
        <w:t>满足</w:t>
      </w:r>
      <w:r>
        <w:rPr>
          <w:rFonts w:hint="eastAsia" w:ascii="宋体" w:hAnsi="宋体" w:cs="宋体"/>
          <w:szCs w:val="21"/>
          <w:highlight w:val="none"/>
          <w:lang w:eastAsia="zh-TW"/>
        </w:rPr>
        <w:t>本须知定义的合格投标人。</w:t>
      </w:r>
    </w:p>
    <w:p>
      <w:pPr>
        <w:numPr>
          <w:ilvl w:val="0"/>
          <w:numId w:val="90"/>
        </w:numPr>
        <w:shd w:val="clear"/>
        <w:snapToGrid w:val="0"/>
        <w:spacing w:line="360" w:lineRule="auto"/>
        <w:outlineLvl w:val="0"/>
        <w:rPr>
          <w:rFonts w:ascii="宋体" w:hAnsi="宋体" w:cs="宋体"/>
          <w:b/>
          <w:bCs/>
          <w:szCs w:val="21"/>
          <w:highlight w:val="none"/>
        </w:rPr>
      </w:pPr>
      <w:bookmarkStart w:id="53" w:name="_Toc12209"/>
      <w:bookmarkStart w:id="54" w:name="_Toc356482720"/>
      <w:r>
        <w:rPr>
          <w:rFonts w:hint="eastAsia" w:ascii="宋体" w:hAnsi="宋体" w:cs="宋体"/>
          <w:b/>
          <w:bCs/>
          <w:szCs w:val="21"/>
          <w:highlight w:val="none"/>
        </w:rPr>
        <w:t>证明货物的合格性和符合招标文件规定的文件</w:t>
      </w:r>
      <w:bookmarkEnd w:id="53"/>
      <w:bookmarkEnd w:id="54"/>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投标人应提交证明文件</w:t>
      </w:r>
      <w:r>
        <w:rPr>
          <w:rFonts w:hint="eastAsia" w:ascii="宋体" w:hAnsi="宋体" w:cs="宋体"/>
          <w:szCs w:val="21"/>
          <w:highlight w:val="none"/>
        </w:rPr>
        <w:t>，</w:t>
      </w:r>
      <w:r>
        <w:rPr>
          <w:rFonts w:hint="eastAsia" w:ascii="宋体" w:hAnsi="宋体" w:cs="宋体"/>
          <w:szCs w:val="21"/>
          <w:highlight w:val="none"/>
          <w:lang w:eastAsia="zh-TW"/>
        </w:rPr>
        <w:t>证明其拟供的合同项下的货物和服务的合格性符合招标文件规定。该证明文件作为投标文件的一部分。</w:t>
      </w:r>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货物和服务合格性的证明文件应包括投标分项报价表中对货物和服务原产地的说明。</w:t>
      </w:r>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证明货物和服务与招标文件的要求相一致的文件，可以是文字资料、图纸和数据，它包括：</w:t>
      </w:r>
    </w:p>
    <w:p>
      <w:pPr>
        <w:numPr>
          <w:ilvl w:val="2"/>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货物主要技术指标和性能的详细说明</w:t>
      </w:r>
      <w:r>
        <w:rPr>
          <w:rFonts w:hint="eastAsia" w:ascii="宋体" w:hAnsi="宋体" w:cs="宋体"/>
          <w:szCs w:val="21"/>
          <w:highlight w:val="none"/>
        </w:rPr>
        <w:t>；</w:t>
      </w:r>
    </w:p>
    <w:p>
      <w:pPr>
        <w:numPr>
          <w:ilvl w:val="2"/>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货物正常使用所必须的备件和专用工具清单</w:t>
      </w:r>
      <w:r>
        <w:rPr>
          <w:rFonts w:hint="eastAsia" w:ascii="宋体" w:hAnsi="宋体" w:cs="宋体"/>
          <w:szCs w:val="21"/>
          <w:highlight w:val="none"/>
        </w:rPr>
        <w:t>，</w:t>
      </w:r>
      <w:r>
        <w:rPr>
          <w:rFonts w:hint="eastAsia" w:ascii="宋体" w:hAnsi="宋体" w:cs="宋体"/>
          <w:szCs w:val="21"/>
          <w:highlight w:val="none"/>
          <w:lang w:eastAsia="zh-TW"/>
        </w:rPr>
        <w:t>包括备件和专用工具的货源及现行价格</w:t>
      </w:r>
      <w:r>
        <w:rPr>
          <w:rFonts w:hint="eastAsia" w:ascii="宋体" w:hAnsi="宋体" w:cs="宋体"/>
          <w:szCs w:val="21"/>
          <w:highlight w:val="none"/>
        </w:rPr>
        <w:t>；</w:t>
      </w:r>
    </w:p>
    <w:p>
      <w:pPr>
        <w:numPr>
          <w:ilvl w:val="2"/>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对照招标文件技术规格，逐条说明所提供货物和服务已对招标文件的技术规格作出了实质性的响应</w:t>
      </w:r>
      <w:r>
        <w:rPr>
          <w:rFonts w:hint="eastAsia" w:ascii="宋体" w:hAnsi="宋体" w:cs="宋体"/>
          <w:szCs w:val="21"/>
          <w:highlight w:val="none"/>
        </w:rPr>
        <w:t>，</w:t>
      </w:r>
      <w:r>
        <w:rPr>
          <w:rFonts w:hint="eastAsia" w:ascii="宋体" w:hAnsi="宋体" w:cs="宋体"/>
          <w:szCs w:val="21"/>
          <w:highlight w:val="none"/>
          <w:lang w:eastAsia="zh-TW"/>
        </w:rPr>
        <w:t>并申明与技术规格条文的偏差和例外。特别对有具体参数要求的指标</w:t>
      </w:r>
      <w:r>
        <w:rPr>
          <w:rFonts w:hint="eastAsia" w:ascii="宋体" w:hAnsi="宋体" w:cs="宋体"/>
          <w:szCs w:val="21"/>
          <w:highlight w:val="none"/>
        </w:rPr>
        <w:t>，</w:t>
      </w:r>
      <w:r>
        <w:rPr>
          <w:rFonts w:hint="eastAsia" w:ascii="宋体" w:hAnsi="宋体" w:cs="宋体"/>
          <w:szCs w:val="21"/>
          <w:highlight w:val="none"/>
          <w:lang w:eastAsia="zh-TW"/>
        </w:rPr>
        <w:t>投标人须提供所投设备的具体参数值。投标人在阐述时应注意招标文件的技术规格中指出的工艺、材料和设备的标准，投标人在投标中要实质上满足或超过招标文件的要求。</w:t>
      </w:r>
    </w:p>
    <w:p>
      <w:pPr>
        <w:numPr>
          <w:ilvl w:val="0"/>
          <w:numId w:val="90"/>
        </w:numPr>
        <w:shd w:val="clear"/>
        <w:snapToGrid w:val="0"/>
        <w:spacing w:line="360" w:lineRule="auto"/>
        <w:outlineLvl w:val="0"/>
        <w:rPr>
          <w:rFonts w:ascii="宋体" w:hAnsi="宋体" w:cs="宋体"/>
          <w:b/>
          <w:bCs/>
          <w:szCs w:val="21"/>
          <w:highlight w:val="none"/>
        </w:rPr>
      </w:pPr>
      <w:bookmarkStart w:id="55" w:name="_Toc356482721"/>
      <w:bookmarkStart w:id="56" w:name="_Toc13503"/>
      <w:r>
        <w:rPr>
          <w:rFonts w:hint="eastAsia" w:ascii="宋体" w:hAnsi="宋体" w:cs="宋体"/>
          <w:b/>
          <w:bCs/>
          <w:szCs w:val="21"/>
          <w:highlight w:val="none"/>
        </w:rPr>
        <w:t>投标保证金</w:t>
      </w:r>
      <w:bookmarkEnd w:id="55"/>
      <w:bookmarkEnd w:id="56"/>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投标人应</w:t>
      </w:r>
      <w:r>
        <w:rPr>
          <w:rFonts w:hint="eastAsia" w:ascii="宋体" w:hAnsi="宋体" w:cs="宋体"/>
          <w:szCs w:val="21"/>
          <w:highlight w:val="none"/>
        </w:rPr>
        <w:t>按</w:t>
      </w:r>
      <w:r>
        <w:rPr>
          <w:rFonts w:hint="eastAsia" w:ascii="宋体" w:hAnsi="宋体" w:cs="宋体"/>
          <w:b/>
          <w:szCs w:val="21"/>
          <w:highlight w:val="none"/>
        </w:rPr>
        <w:t>采购公告</w:t>
      </w:r>
      <w:r>
        <w:rPr>
          <w:rFonts w:hint="eastAsia" w:ascii="宋体" w:hAnsi="宋体" w:cs="宋体"/>
          <w:szCs w:val="21"/>
          <w:highlight w:val="none"/>
          <w:lang w:eastAsia="zh-TW"/>
        </w:rPr>
        <w:t>中规定</w:t>
      </w:r>
      <w:r>
        <w:rPr>
          <w:rFonts w:hint="eastAsia" w:ascii="宋体" w:hAnsi="宋体" w:cs="宋体"/>
          <w:szCs w:val="21"/>
          <w:highlight w:val="none"/>
        </w:rPr>
        <w:t>的金</w:t>
      </w:r>
      <w:r>
        <w:rPr>
          <w:rFonts w:hint="eastAsia" w:ascii="宋体" w:hAnsi="宋体" w:cs="宋体"/>
          <w:szCs w:val="21"/>
          <w:highlight w:val="none"/>
          <w:lang w:eastAsia="zh-TW"/>
        </w:rPr>
        <w:t>额</w:t>
      </w:r>
      <w:r>
        <w:rPr>
          <w:rFonts w:hint="eastAsia" w:ascii="宋体" w:hAnsi="宋体" w:cs="宋体"/>
          <w:szCs w:val="21"/>
          <w:highlight w:val="none"/>
        </w:rPr>
        <w:t>、期限缴纳</w:t>
      </w:r>
      <w:r>
        <w:rPr>
          <w:rFonts w:hint="eastAsia" w:ascii="宋体" w:hAnsi="宋体" w:cs="宋体"/>
          <w:szCs w:val="21"/>
          <w:highlight w:val="none"/>
          <w:lang w:eastAsia="zh-TW"/>
        </w:rPr>
        <w:t>投标保证金</w:t>
      </w:r>
      <w:r>
        <w:rPr>
          <w:rFonts w:hint="eastAsia" w:ascii="宋体" w:hAnsi="宋体" w:cs="宋体"/>
          <w:szCs w:val="21"/>
          <w:highlight w:val="none"/>
        </w:rPr>
        <w:t>，</w:t>
      </w:r>
      <w:r>
        <w:rPr>
          <w:rFonts w:hint="eastAsia" w:ascii="宋体" w:hAnsi="宋体" w:cs="宋体"/>
          <w:szCs w:val="21"/>
          <w:highlight w:val="none"/>
          <w:lang w:eastAsia="zh-TW"/>
        </w:rPr>
        <w:t>并作为其投标</w:t>
      </w:r>
      <w:r>
        <w:rPr>
          <w:rFonts w:hint="eastAsia" w:ascii="宋体" w:hAnsi="宋体" w:cs="宋体"/>
          <w:szCs w:val="21"/>
          <w:highlight w:val="none"/>
        </w:rPr>
        <w:t>文件的组成</w:t>
      </w:r>
      <w:r>
        <w:rPr>
          <w:rFonts w:hint="eastAsia" w:ascii="宋体" w:hAnsi="宋体" w:cs="宋体"/>
          <w:szCs w:val="21"/>
          <w:highlight w:val="none"/>
          <w:lang w:eastAsia="zh-TW"/>
        </w:rPr>
        <w:t>部分。</w:t>
      </w:r>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投标人撤回已提交的投标文件，应当在投标截止时间前书面通知招标人。佛山市南海公有资产流转服务有限公司已收取投标保证金的，应当自收到投标人《企业采购保证金退付委托书》和营业执照复印件（盖公章）起5个工作日内退还。</w:t>
      </w:r>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未中标投标人的投标保证金由佛山市南海公有资产流转服务有限公司在发布采购结果公告后的5个工作日内退回（不计利息）；招标人在与中标人签署采购合同后7个工作日内，凭有效的合同原件到佛山市南海公有资产流转服务有限公司进行备案。佛山市南海公有资产流转服务有限公司自收到合同原件后5个工作日内退回中标人的投标保证金（不计利息</w:t>
      </w:r>
      <w:r>
        <w:rPr>
          <w:rFonts w:hint="eastAsia" w:ascii="宋体" w:hAnsi="宋体" w:cs="宋体"/>
          <w:szCs w:val="21"/>
          <w:highlight w:val="none"/>
        </w:rPr>
        <w:t>）</w:t>
      </w:r>
      <w:r>
        <w:rPr>
          <w:rFonts w:hint="eastAsia" w:ascii="宋体" w:hAnsi="宋体" w:cs="宋体"/>
          <w:szCs w:val="21"/>
          <w:highlight w:val="none"/>
          <w:lang w:eastAsia="zh-TW"/>
        </w:rPr>
        <w:t>。</w:t>
      </w:r>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符合退付条件的投标保证金，将在法定时间内全额无息退还到投标人原汇出账户</w:t>
      </w:r>
      <w:r>
        <w:rPr>
          <w:rFonts w:hint="eastAsia" w:ascii="宋体" w:hAnsi="宋体" w:cs="宋体"/>
          <w:szCs w:val="21"/>
          <w:highlight w:val="none"/>
        </w:rPr>
        <w:t>。</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下列任一情况发生时</w:t>
      </w:r>
      <w:r>
        <w:rPr>
          <w:rFonts w:hint="eastAsia" w:ascii="宋体" w:hAnsi="宋体" w:cs="宋体"/>
          <w:szCs w:val="21"/>
          <w:highlight w:val="none"/>
        </w:rPr>
        <w:t>，</w:t>
      </w:r>
      <w:r>
        <w:rPr>
          <w:rFonts w:hint="eastAsia" w:ascii="宋体" w:hAnsi="宋体" w:cs="宋体"/>
          <w:szCs w:val="21"/>
          <w:highlight w:val="none"/>
          <w:lang w:eastAsia="zh-TW"/>
        </w:rPr>
        <w:t>投标保证金将被没收</w:t>
      </w:r>
      <w:r>
        <w:rPr>
          <w:rFonts w:hint="eastAsia" w:ascii="宋体" w:hAnsi="宋体" w:cs="宋体"/>
          <w:szCs w:val="21"/>
          <w:highlight w:val="none"/>
        </w:rPr>
        <w:t>：</w:t>
      </w:r>
    </w:p>
    <w:p>
      <w:pPr>
        <w:numPr>
          <w:ilvl w:val="2"/>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投标人在招标文件中规定的投标有效期内撤回其投标</w:t>
      </w:r>
      <w:r>
        <w:rPr>
          <w:rFonts w:hint="eastAsia" w:ascii="宋体" w:hAnsi="宋体" w:cs="宋体"/>
          <w:szCs w:val="21"/>
          <w:highlight w:val="none"/>
        </w:rPr>
        <w:t>；</w:t>
      </w:r>
    </w:p>
    <w:p>
      <w:pPr>
        <w:numPr>
          <w:ilvl w:val="2"/>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中标后无正当理由放弃中标或中标人在规定期限内未能根据本须知规定签订合同</w:t>
      </w:r>
      <w:r>
        <w:rPr>
          <w:rFonts w:hint="eastAsia" w:ascii="宋体" w:hAnsi="宋体" w:cs="宋体"/>
          <w:szCs w:val="21"/>
          <w:highlight w:val="none"/>
        </w:rPr>
        <w:t>；</w:t>
      </w:r>
    </w:p>
    <w:p>
      <w:pPr>
        <w:numPr>
          <w:ilvl w:val="2"/>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将中标项目转让给他人，或者在投标文件中未说明，且未经招标人同意，违反招标文件规定，将中标项目分包给他人的；</w:t>
      </w:r>
    </w:p>
    <w:p>
      <w:pPr>
        <w:numPr>
          <w:ilvl w:val="2"/>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中标人未按本须知规定交纳招标代理服务费。</w:t>
      </w:r>
    </w:p>
    <w:p>
      <w:pPr>
        <w:numPr>
          <w:ilvl w:val="0"/>
          <w:numId w:val="90"/>
        </w:numPr>
        <w:shd w:val="clear"/>
        <w:snapToGrid w:val="0"/>
        <w:spacing w:line="360" w:lineRule="auto"/>
        <w:outlineLvl w:val="0"/>
        <w:rPr>
          <w:rFonts w:ascii="宋体" w:hAnsi="宋体" w:cs="宋体"/>
          <w:b/>
          <w:bCs/>
          <w:szCs w:val="21"/>
          <w:highlight w:val="none"/>
        </w:rPr>
      </w:pPr>
      <w:bookmarkStart w:id="57" w:name="_Toc356482722"/>
      <w:bookmarkStart w:id="58" w:name="_Toc15256"/>
      <w:r>
        <w:rPr>
          <w:rFonts w:hint="eastAsia" w:ascii="宋体" w:hAnsi="宋体" w:cs="宋体"/>
          <w:b/>
          <w:bCs/>
          <w:szCs w:val="21"/>
          <w:highlight w:val="none"/>
        </w:rPr>
        <w:t>投标有效期</w:t>
      </w:r>
      <w:bookmarkEnd w:id="57"/>
      <w:bookmarkEnd w:id="58"/>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投标应自</w:t>
      </w:r>
      <w:r>
        <w:rPr>
          <w:rFonts w:hint="eastAsia" w:ascii="宋体" w:hAnsi="宋体" w:cs="宋体"/>
          <w:b/>
          <w:szCs w:val="21"/>
          <w:highlight w:val="none"/>
          <w:lang w:eastAsia="zh-TW"/>
        </w:rPr>
        <w:t>投标资料表</w:t>
      </w:r>
      <w:r>
        <w:rPr>
          <w:rFonts w:hint="eastAsia" w:ascii="宋体" w:hAnsi="宋体" w:cs="宋体"/>
          <w:szCs w:val="21"/>
          <w:highlight w:val="none"/>
          <w:lang w:eastAsia="zh-TW"/>
        </w:rPr>
        <w:t>中规定的</w:t>
      </w:r>
      <w:r>
        <w:rPr>
          <w:rFonts w:hint="eastAsia" w:ascii="宋体" w:hAnsi="宋体" w:cs="宋体"/>
          <w:szCs w:val="21"/>
          <w:highlight w:val="none"/>
        </w:rPr>
        <w:t>投标文件递交截止时间</w:t>
      </w:r>
      <w:r>
        <w:rPr>
          <w:rFonts w:hint="eastAsia" w:ascii="宋体" w:hAnsi="宋体" w:cs="宋体"/>
          <w:szCs w:val="21"/>
          <w:highlight w:val="none"/>
          <w:lang w:eastAsia="zh-TW"/>
        </w:rPr>
        <w:t>起</w:t>
      </w:r>
      <w:r>
        <w:rPr>
          <w:rFonts w:hint="eastAsia" w:ascii="宋体" w:hAnsi="宋体" w:cs="宋体"/>
          <w:szCs w:val="21"/>
          <w:highlight w:val="none"/>
        </w:rPr>
        <w:t>，</w:t>
      </w:r>
      <w:r>
        <w:rPr>
          <w:rFonts w:hint="eastAsia" w:ascii="宋体" w:hAnsi="宋体" w:cs="宋体"/>
          <w:szCs w:val="21"/>
          <w:highlight w:val="none"/>
          <w:lang w:eastAsia="zh-TW"/>
        </w:rPr>
        <w:t>并在</w:t>
      </w:r>
      <w:r>
        <w:rPr>
          <w:rFonts w:hint="eastAsia" w:ascii="宋体" w:hAnsi="宋体" w:cs="宋体"/>
          <w:b/>
          <w:szCs w:val="21"/>
          <w:highlight w:val="none"/>
          <w:lang w:eastAsia="zh-TW"/>
        </w:rPr>
        <w:t>投标资料表</w:t>
      </w:r>
      <w:r>
        <w:rPr>
          <w:rFonts w:hint="eastAsia" w:ascii="宋体" w:hAnsi="宋体" w:cs="宋体"/>
          <w:szCs w:val="21"/>
          <w:highlight w:val="none"/>
          <w:lang w:eastAsia="zh-TW"/>
        </w:rPr>
        <w:t>中所述期限内保持有效。投标有效期不足的投标将被视为非实质性响应</w:t>
      </w:r>
      <w:r>
        <w:rPr>
          <w:rFonts w:hint="eastAsia" w:ascii="宋体" w:hAnsi="宋体" w:cs="宋体"/>
          <w:szCs w:val="21"/>
          <w:highlight w:val="none"/>
        </w:rPr>
        <w:t>，视为无效投标</w:t>
      </w:r>
      <w:r>
        <w:rPr>
          <w:rFonts w:hint="eastAsia" w:ascii="宋体" w:hAnsi="宋体" w:cs="宋体"/>
          <w:szCs w:val="21"/>
          <w:highlight w:val="none"/>
          <w:lang w:eastAsia="zh-TW"/>
        </w:rPr>
        <w:t>。</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特殊情况下</w:t>
      </w:r>
      <w:r>
        <w:rPr>
          <w:rFonts w:hint="eastAsia" w:ascii="宋体" w:hAnsi="宋体" w:cs="宋体"/>
          <w:szCs w:val="21"/>
          <w:highlight w:val="none"/>
        </w:rPr>
        <w:t>，</w:t>
      </w:r>
      <w:r>
        <w:rPr>
          <w:rFonts w:hint="eastAsia" w:ascii="宋体" w:hAnsi="宋体" w:cs="宋体"/>
          <w:szCs w:val="21"/>
          <w:highlight w:val="none"/>
          <w:lang w:eastAsia="zh-TW"/>
        </w:rPr>
        <w:t>在原投标有效期截止之前</w:t>
      </w:r>
      <w:r>
        <w:rPr>
          <w:rFonts w:hint="eastAsia" w:ascii="宋体" w:hAnsi="宋体" w:cs="宋体"/>
          <w:szCs w:val="21"/>
          <w:highlight w:val="none"/>
        </w:rPr>
        <w:t>，</w:t>
      </w:r>
      <w:r>
        <w:rPr>
          <w:rFonts w:hint="eastAsia" w:ascii="宋体" w:hAnsi="宋体" w:cs="宋体"/>
          <w:szCs w:val="21"/>
          <w:highlight w:val="none"/>
          <w:lang w:eastAsia="zh-TW"/>
        </w:rPr>
        <w:t>招标代理机构可要求投标人延长投标有效期。这种要求与答复均应以书面形式提交。投标人可拒绝招标代理机构的这种要求</w:t>
      </w:r>
      <w:r>
        <w:rPr>
          <w:rFonts w:hint="eastAsia" w:ascii="宋体" w:hAnsi="宋体" w:cs="宋体"/>
          <w:szCs w:val="21"/>
          <w:highlight w:val="none"/>
        </w:rPr>
        <w:t>，</w:t>
      </w:r>
      <w:r>
        <w:rPr>
          <w:rFonts w:hint="eastAsia" w:ascii="宋体" w:hAnsi="宋体" w:cs="宋体"/>
          <w:szCs w:val="21"/>
          <w:highlight w:val="none"/>
          <w:lang w:eastAsia="zh-TW"/>
        </w:rPr>
        <w:t>其投标保证金将不会被没收</w:t>
      </w:r>
      <w:r>
        <w:rPr>
          <w:rFonts w:hint="eastAsia" w:ascii="宋体" w:hAnsi="宋体" w:cs="宋体"/>
          <w:szCs w:val="21"/>
          <w:highlight w:val="none"/>
        </w:rPr>
        <w:t>，</w:t>
      </w:r>
      <w:r>
        <w:rPr>
          <w:rFonts w:hint="eastAsia" w:ascii="宋体" w:hAnsi="宋体" w:cs="宋体"/>
          <w:szCs w:val="21"/>
          <w:highlight w:val="none"/>
          <w:lang w:eastAsia="zh-TW"/>
        </w:rPr>
        <w:t>但其投标在原投标有效期期满后将不再有效。同意延长投标有效期的投标人将不会被要求和允许修正其投标</w:t>
      </w:r>
      <w:r>
        <w:rPr>
          <w:rFonts w:hint="eastAsia" w:ascii="宋体" w:hAnsi="宋体" w:cs="宋体"/>
          <w:szCs w:val="21"/>
          <w:highlight w:val="none"/>
        </w:rPr>
        <w:t>，</w:t>
      </w:r>
      <w:r>
        <w:rPr>
          <w:rFonts w:hint="eastAsia" w:ascii="宋体" w:hAnsi="宋体" w:cs="宋体"/>
          <w:szCs w:val="21"/>
          <w:highlight w:val="none"/>
          <w:lang w:eastAsia="zh-TW"/>
        </w:rPr>
        <w:t>而只会被要求相应地延长其投标保证金的有效期。在这种情况下</w:t>
      </w:r>
      <w:r>
        <w:rPr>
          <w:rFonts w:hint="eastAsia" w:ascii="宋体" w:hAnsi="宋体" w:cs="宋体"/>
          <w:szCs w:val="21"/>
          <w:highlight w:val="none"/>
        </w:rPr>
        <w:t>，</w:t>
      </w:r>
      <w:r>
        <w:rPr>
          <w:rFonts w:hint="eastAsia" w:ascii="宋体" w:hAnsi="宋体" w:cs="宋体"/>
          <w:szCs w:val="21"/>
          <w:highlight w:val="none"/>
          <w:lang w:eastAsia="zh-TW"/>
        </w:rPr>
        <w:t>本须知有关投标保证金的退还和没收的规定将在延长了的有效期内继续有效。</w:t>
      </w:r>
    </w:p>
    <w:p>
      <w:pPr>
        <w:numPr>
          <w:ilvl w:val="0"/>
          <w:numId w:val="90"/>
        </w:numPr>
        <w:shd w:val="clear"/>
        <w:snapToGrid w:val="0"/>
        <w:spacing w:line="360" w:lineRule="auto"/>
        <w:outlineLvl w:val="0"/>
        <w:rPr>
          <w:rFonts w:ascii="宋体" w:hAnsi="宋体" w:cs="宋体"/>
          <w:b/>
          <w:bCs/>
          <w:szCs w:val="21"/>
          <w:highlight w:val="none"/>
        </w:rPr>
      </w:pPr>
      <w:bookmarkStart w:id="59" w:name="_Toc356482723"/>
      <w:bookmarkStart w:id="60" w:name="_Toc13876"/>
      <w:r>
        <w:rPr>
          <w:rFonts w:hint="eastAsia" w:ascii="宋体" w:hAnsi="宋体" w:cs="宋体"/>
          <w:b/>
          <w:bCs/>
          <w:szCs w:val="21"/>
          <w:highlight w:val="none"/>
        </w:rPr>
        <w:t>投标文件的式样和签署</w:t>
      </w:r>
      <w:bookmarkEnd w:id="59"/>
      <w:bookmarkEnd w:id="60"/>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投标文件的式样：投标人应准备一份投标文件正本</w:t>
      </w:r>
      <w:r>
        <w:rPr>
          <w:rFonts w:hint="eastAsia" w:ascii="宋体" w:hAnsi="宋体" w:cs="宋体"/>
          <w:szCs w:val="21"/>
          <w:highlight w:val="none"/>
        </w:rPr>
        <w:t>、电子文件</w:t>
      </w:r>
      <w:r>
        <w:rPr>
          <w:rFonts w:hint="eastAsia" w:ascii="宋体" w:hAnsi="宋体" w:cs="宋体"/>
          <w:szCs w:val="21"/>
          <w:highlight w:val="none"/>
          <w:lang w:eastAsia="zh-TW"/>
        </w:rPr>
        <w:t>和</w:t>
      </w:r>
      <w:r>
        <w:rPr>
          <w:rFonts w:hint="eastAsia" w:ascii="宋体" w:hAnsi="宋体" w:cs="宋体"/>
          <w:b/>
          <w:szCs w:val="21"/>
          <w:highlight w:val="none"/>
          <w:lang w:eastAsia="zh-TW"/>
        </w:rPr>
        <w:t>投标资料表</w:t>
      </w:r>
      <w:r>
        <w:rPr>
          <w:rFonts w:hint="eastAsia" w:ascii="宋体" w:hAnsi="宋体" w:cs="宋体"/>
          <w:szCs w:val="21"/>
          <w:highlight w:val="none"/>
          <w:lang w:eastAsia="zh-TW"/>
        </w:rPr>
        <w:t>中规定数目的副本</w:t>
      </w:r>
      <w:r>
        <w:rPr>
          <w:rFonts w:hint="eastAsia" w:ascii="宋体" w:hAnsi="宋体" w:cs="宋体"/>
          <w:szCs w:val="21"/>
          <w:highlight w:val="none"/>
        </w:rPr>
        <w:t>，</w:t>
      </w:r>
      <w:r>
        <w:rPr>
          <w:rFonts w:hint="eastAsia" w:ascii="宋体" w:hAnsi="宋体" w:cs="宋体"/>
          <w:szCs w:val="21"/>
          <w:highlight w:val="none"/>
          <w:lang w:eastAsia="zh-TW"/>
        </w:rPr>
        <w:t>副本可</w:t>
      </w:r>
      <w:r>
        <w:rPr>
          <w:rFonts w:hint="eastAsia" w:ascii="宋体" w:hAnsi="宋体" w:cs="宋体"/>
          <w:szCs w:val="21"/>
          <w:highlight w:val="none"/>
        </w:rPr>
        <w:t>以</w:t>
      </w:r>
      <w:r>
        <w:rPr>
          <w:rFonts w:hint="eastAsia" w:ascii="宋体" w:hAnsi="宋体" w:cs="宋体"/>
          <w:szCs w:val="21"/>
          <w:highlight w:val="none"/>
          <w:lang w:eastAsia="zh-TW"/>
        </w:rPr>
        <w:t>复印。每套投标文件须清楚地标明“正本”或</w:t>
      </w:r>
      <w:r>
        <w:rPr>
          <w:rFonts w:hint="eastAsia" w:ascii="宋体" w:hAnsi="宋体" w:cs="宋体"/>
          <w:szCs w:val="21"/>
          <w:highlight w:val="none"/>
        </w:rPr>
        <w:t>“副</w:t>
      </w:r>
      <w:r>
        <w:rPr>
          <w:rFonts w:hint="eastAsia" w:ascii="宋体" w:hAnsi="宋体" w:cs="宋体"/>
          <w:szCs w:val="21"/>
          <w:highlight w:val="none"/>
          <w:lang w:eastAsia="zh-TW"/>
        </w:rPr>
        <w:t>本</w:t>
      </w:r>
      <w:r>
        <w:rPr>
          <w:rFonts w:hint="eastAsia" w:ascii="宋体" w:hAnsi="宋体" w:cs="宋体"/>
          <w:szCs w:val="21"/>
          <w:highlight w:val="none"/>
        </w:rPr>
        <w:t>”</w:t>
      </w:r>
      <w:r>
        <w:rPr>
          <w:rFonts w:hint="eastAsia" w:ascii="宋体" w:hAnsi="宋体" w:cs="宋体"/>
          <w:szCs w:val="21"/>
          <w:highlight w:val="none"/>
          <w:lang w:eastAsia="zh-TW"/>
        </w:rPr>
        <w:t>。若副本与正本不符</w:t>
      </w:r>
      <w:r>
        <w:rPr>
          <w:rFonts w:hint="eastAsia" w:ascii="宋体" w:hAnsi="宋体" w:cs="宋体"/>
          <w:szCs w:val="21"/>
          <w:highlight w:val="none"/>
        </w:rPr>
        <w:t>，</w:t>
      </w:r>
      <w:r>
        <w:rPr>
          <w:rFonts w:hint="eastAsia" w:ascii="宋体" w:hAnsi="宋体" w:cs="宋体"/>
          <w:szCs w:val="21"/>
          <w:highlight w:val="none"/>
          <w:lang w:eastAsia="zh-TW"/>
        </w:rPr>
        <w:t>以正本为准。</w:t>
      </w:r>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投标文件的签署：</w:t>
      </w:r>
    </w:p>
    <w:p>
      <w:pPr>
        <w:numPr>
          <w:ilvl w:val="2"/>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投标文件的正本需打印或用不褪色墨水书写</w:t>
      </w:r>
      <w:r>
        <w:rPr>
          <w:rFonts w:hint="eastAsia" w:ascii="宋体" w:hAnsi="宋体" w:cs="宋体"/>
          <w:szCs w:val="21"/>
          <w:highlight w:val="none"/>
        </w:rPr>
        <w:t>，格式规定签字或盖章处须由投标人的法定</w:t>
      </w:r>
      <w:r>
        <w:rPr>
          <w:rFonts w:hint="eastAsia" w:ascii="宋体" w:hAnsi="宋体" w:cs="宋体"/>
          <w:szCs w:val="21"/>
          <w:highlight w:val="none"/>
          <w:lang w:eastAsia="zh-TW"/>
        </w:rPr>
        <w:t>代表人或经其正式授权的代表签字</w:t>
      </w:r>
      <w:r>
        <w:rPr>
          <w:rFonts w:hint="eastAsia" w:ascii="宋体" w:hAnsi="宋体" w:cs="宋体"/>
          <w:szCs w:val="21"/>
          <w:highlight w:val="none"/>
        </w:rPr>
        <w:t>或印盖本人姓名章，</w:t>
      </w:r>
      <w:r>
        <w:rPr>
          <w:rFonts w:hint="eastAsia" w:ascii="宋体" w:hAnsi="宋体" w:cs="宋体"/>
          <w:b/>
          <w:bCs/>
          <w:szCs w:val="21"/>
          <w:highlight w:val="none"/>
          <w:u w:val="double"/>
        </w:rPr>
        <w:t>投标文件正本均须在封面及每一页加盖投标人公章</w:t>
      </w:r>
      <w:r>
        <w:rPr>
          <w:rFonts w:hint="eastAsia" w:ascii="宋体" w:hAnsi="宋体" w:cs="宋体"/>
          <w:szCs w:val="21"/>
          <w:highlight w:val="none"/>
        </w:rPr>
        <w:t>，副本可以复印，与正本具有同等法律效力</w:t>
      </w:r>
      <w:r>
        <w:rPr>
          <w:rFonts w:hint="eastAsia" w:ascii="宋体" w:hAnsi="宋体" w:cs="宋体"/>
          <w:szCs w:val="21"/>
          <w:highlight w:val="none"/>
          <w:lang w:eastAsia="zh-TW"/>
        </w:rPr>
        <w:t>。授权代表须将以书面形式出具的《法定代表人授权</w:t>
      </w:r>
      <w:r>
        <w:rPr>
          <w:rFonts w:hint="eastAsia" w:ascii="宋体" w:hAnsi="宋体" w:cs="宋体"/>
          <w:szCs w:val="21"/>
          <w:highlight w:val="none"/>
        </w:rPr>
        <w:t>委托</w:t>
      </w:r>
      <w:r>
        <w:rPr>
          <w:rFonts w:hint="eastAsia" w:ascii="宋体" w:hAnsi="宋体" w:cs="宋体"/>
          <w:szCs w:val="21"/>
          <w:highlight w:val="none"/>
          <w:lang w:eastAsia="zh-TW"/>
        </w:rPr>
        <w:t>书》附在</w:t>
      </w:r>
      <w:r>
        <w:rPr>
          <w:rFonts w:hint="eastAsia" w:ascii="宋体" w:hAnsi="宋体" w:cs="宋体"/>
          <w:szCs w:val="21"/>
          <w:highlight w:val="none"/>
        </w:rPr>
        <w:t>投</w:t>
      </w:r>
      <w:r>
        <w:rPr>
          <w:rFonts w:hint="eastAsia" w:ascii="宋体" w:hAnsi="宋体" w:cs="宋体"/>
          <w:szCs w:val="21"/>
          <w:highlight w:val="none"/>
          <w:lang w:eastAsia="zh-TW"/>
        </w:rPr>
        <w:t>标文件中。</w:t>
      </w:r>
    </w:p>
    <w:p>
      <w:pPr>
        <w:numPr>
          <w:ilvl w:val="2"/>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投标文件中的任何重要的插字、涂改和增删，必须由法定代表人或经其正式授权的代表在旁边签章或签字才有效。</w:t>
      </w:r>
    </w:p>
    <w:p>
      <w:pPr>
        <w:shd w:val="clear"/>
        <w:snapToGrid w:val="0"/>
        <w:spacing w:line="360" w:lineRule="auto"/>
        <w:ind w:left="372" w:hanging="371" w:hangingChars="177"/>
        <w:rPr>
          <w:rFonts w:ascii="宋体" w:hAnsi="宋体" w:cs="宋体"/>
          <w:szCs w:val="21"/>
          <w:highlight w:val="none"/>
        </w:rPr>
      </w:pPr>
    </w:p>
    <w:p>
      <w:pPr>
        <w:numPr>
          <w:ilvl w:val="0"/>
          <w:numId w:val="89"/>
        </w:numPr>
        <w:shd w:val="clear"/>
        <w:snapToGrid w:val="0"/>
        <w:spacing w:line="360" w:lineRule="auto"/>
        <w:jc w:val="center"/>
        <w:outlineLvl w:val="0"/>
        <w:rPr>
          <w:rFonts w:ascii="宋体" w:hAnsi="宋体"/>
          <w:b/>
          <w:sz w:val="28"/>
          <w:szCs w:val="28"/>
          <w:highlight w:val="none"/>
          <w:lang w:eastAsia="zh-TW"/>
        </w:rPr>
      </w:pPr>
      <w:bookmarkStart w:id="61" w:name="_Toc356482724"/>
      <w:bookmarkStart w:id="62" w:name="_Toc25944"/>
      <w:r>
        <w:rPr>
          <w:rFonts w:hint="eastAsia" w:ascii="宋体" w:hAnsi="宋体"/>
          <w:b/>
          <w:sz w:val="28"/>
          <w:szCs w:val="28"/>
          <w:highlight w:val="none"/>
          <w:lang w:eastAsia="zh-TW"/>
        </w:rPr>
        <w:t>投标文件的递交</w:t>
      </w:r>
      <w:bookmarkEnd w:id="61"/>
      <w:bookmarkEnd w:id="62"/>
    </w:p>
    <w:p>
      <w:pPr>
        <w:numPr>
          <w:ilvl w:val="0"/>
          <w:numId w:val="90"/>
        </w:numPr>
        <w:shd w:val="clear"/>
        <w:snapToGrid w:val="0"/>
        <w:spacing w:line="360" w:lineRule="auto"/>
        <w:outlineLvl w:val="0"/>
        <w:rPr>
          <w:rFonts w:ascii="宋体" w:hAnsi="宋体" w:cs="宋体"/>
          <w:b/>
          <w:bCs/>
          <w:szCs w:val="21"/>
          <w:highlight w:val="none"/>
        </w:rPr>
      </w:pPr>
      <w:bookmarkStart w:id="63" w:name="_Toc356482725"/>
      <w:bookmarkStart w:id="64" w:name="_Toc21943"/>
      <w:r>
        <w:rPr>
          <w:rFonts w:hint="eastAsia" w:ascii="宋体" w:hAnsi="宋体" w:cs="宋体"/>
          <w:b/>
          <w:bCs/>
          <w:szCs w:val="21"/>
          <w:highlight w:val="none"/>
        </w:rPr>
        <w:t>投标文件的密封和标记</w:t>
      </w:r>
      <w:bookmarkEnd w:id="63"/>
      <w:bookmarkEnd w:id="64"/>
    </w:p>
    <w:p>
      <w:pPr>
        <w:numPr>
          <w:ilvl w:val="1"/>
          <w:numId w:val="90"/>
        </w:numPr>
        <w:shd w:val="clear"/>
        <w:snapToGrid w:val="0"/>
        <w:spacing w:line="420" w:lineRule="auto"/>
        <w:rPr>
          <w:rFonts w:ascii="宋体" w:hAnsi="宋体" w:cs="宋体"/>
          <w:b/>
          <w:bCs/>
          <w:dstrike/>
          <w:szCs w:val="21"/>
          <w:highlight w:val="none"/>
        </w:rPr>
      </w:pPr>
      <w:r>
        <w:rPr>
          <w:rFonts w:hint="eastAsia" w:ascii="宋体" w:hAnsi="宋体" w:cs="宋体"/>
          <w:szCs w:val="21"/>
          <w:highlight w:val="none"/>
          <w:lang w:eastAsia="zh-TW"/>
        </w:rPr>
        <w:t>为方便开标唱标</w:t>
      </w:r>
      <w:r>
        <w:rPr>
          <w:rFonts w:hint="eastAsia" w:ascii="宋体" w:hAnsi="宋体" w:cs="宋体"/>
          <w:szCs w:val="21"/>
          <w:highlight w:val="none"/>
        </w:rPr>
        <w:t>，</w:t>
      </w:r>
      <w:r>
        <w:rPr>
          <w:rFonts w:hint="eastAsia" w:ascii="宋体" w:hAnsi="宋体" w:cs="宋体"/>
          <w:szCs w:val="21"/>
          <w:highlight w:val="none"/>
          <w:lang w:eastAsia="zh-TW"/>
        </w:rPr>
        <w:t>投标人应将开标</w:t>
      </w:r>
      <w:r>
        <w:rPr>
          <w:rFonts w:hint="eastAsia" w:ascii="宋体" w:hAnsi="宋体" w:cs="宋体"/>
          <w:szCs w:val="21"/>
          <w:highlight w:val="none"/>
        </w:rPr>
        <w:t>记录</w:t>
      </w:r>
      <w:r>
        <w:rPr>
          <w:rFonts w:hint="eastAsia" w:ascii="宋体" w:hAnsi="宋体" w:cs="宋体"/>
          <w:szCs w:val="21"/>
          <w:highlight w:val="none"/>
          <w:lang w:eastAsia="zh-TW"/>
        </w:rPr>
        <w:t>表(报价表)</w:t>
      </w:r>
      <w:r>
        <w:rPr>
          <w:rFonts w:hint="eastAsia" w:ascii="宋体" w:hAnsi="宋体" w:cs="宋体"/>
          <w:szCs w:val="21"/>
          <w:highlight w:val="none"/>
        </w:rPr>
        <w:t>、</w:t>
      </w:r>
      <w:r>
        <w:rPr>
          <w:rFonts w:hint="eastAsia" w:ascii="宋体" w:hAnsi="宋体" w:cs="宋体"/>
          <w:szCs w:val="21"/>
          <w:highlight w:val="none"/>
          <w:lang w:eastAsia="zh-TW"/>
        </w:rPr>
        <w:t>投标保证金</w:t>
      </w:r>
      <w:r>
        <w:rPr>
          <w:rFonts w:hint="eastAsia" w:ascii="宋体" w:hAnsi="宋体" w:cs="宋体"/>
          <w:szCs w:val="21"/>
          <w:highlight w:val="none"/>
        </w:rPr>
        <w:t>缴付凭证、电子文件和退投标保证金说明函一起</w:t>
      </w:r>
      <w:r>
        <w:rPr>
          <w:rFonts w:hint="eastAsia" w:ascii="宋体" w:hAnsi="宋体" w:cs="宋体"/>
          <w:szCs w:val="21"/>
          <w:highlight w:val="none"/>
          <w:lang w:eastAsia="zh-TW"/>
        </w:rPr>
        <w:t>密封提交</w:t>
      </w:r>
      <w:r>
        <w:rPr>
          <w:rFonts w:hint="eastAsia" w:ascii="宋体" w:hAnsi="宋体" w:cs="宋体"/>
          <w:szCs w:val="21"/>
          <w:highlight w:val="none"/>
        </w:rPr>
        <w:t>，并在信封上标明“开标信封”的</w:t>
      </w:r>
      <w:r>
        <w:rPr>
          <w:rFonts w:hint="eastAsia" w:ascii="宋体" w:hAnsi="宋体" w:cs="宋体"/>
          <w:szCs w:val="21"/>
          <w:highlight w:val="none"/>
          <w:lang w:eastAsia="zh-TW"/>
        </w:rPr>
        <w:t>字样。投标人应将投标文件正本和所有的副本分开密封装在单独的信封中</w:t>
      </w:r>
      <w:r>
        <w:rPr>
          <w:rFonts w:hint="eastAsia" w:ascii="宋体" w:hAnsi="宋体" w:cs="宋体"/>
          <w:szCs w:val="21"/>
          <w:highlight w:val="none"/>
        </w:rPr>
        <w:t>，</w:t>
      </w:r>
      <w:r>
        <w:rPr>
          <w:rFonts w:hint="eastAsia" w:ascii="宋体" w:hAnsi="宋体" w:cs="宋体"/>
          <w:szCs w:val="21"/>
          <w:highlight w:val="none"/>
          <w:lang w:eastAsia="zh-TW"/>
        </w:rPr>
        <w:t>且在信封</w:t>
      </w:r>
      <w:r>
        <w:rPr>
          <w:rFonts w:hint="eastAsia" w:ascii="宋体" w:hAnsi="宋体" w:cs="宋体"/>
          <w:szCs w:val="21"/>
          <w:highlight w:val="none"/>
        </w:rPr>
        <w:t>上</w:t>
      </w:r>
      <w:r>
        <w:rPr>
          <w:rFonts w:hint="eastAsia" w:ascii="宋体" w:hAnsi="宋体" w:cs="宋体"/>
          <w:szCs w:val="21"/>
          <w:highlight w:val="none"/>
          <w:lang w:eastAsia="zh-TW"/>
        </w:rPr>
        <w:t>标明</w:t>
      </w:r>
      <w:r>
        <w:rPr>
          <w:rFonts w:hint="eastAsia" w:ascii="宋体" w:hAnsi="宋体" w:cs="宋体"/>
          <w:szCs w:val="21"/>
          <w:highlight w:val="none"/>
        </w:rPr>
        <w:t>“</w:t>
      </w:r>
      <w:r>
        <w:rPr>
          <w:rFonts w:hint="eastAsia" w:ascii="宋体" w:hAnsi="宋体" w:cs="宋体"/>
          <w:szCs w:val="21"/>
          <w:highlight w:val="none"/>
          <w:lang w:eastAsia="zh-TW"/>
        </w:rPr>
        <w:t>正本</w:t>
      </w:r>
      <w:r>
        <w:rPr>
          <w:rFonts w:hint="eastAsia" w:ascii="宋体" w:hAnsi="宋体" w:cs="宋体"/>
          <w:szCs w:val="21"/>
          <w:highlight w:val="none"/>
        </w:rPr>
        <w:t>”“副</w:t>
      </w:r>
      <w:r>
        <w:rPr>
          <w:rFonts w:hint="eastAsia" w:ascii="宋体" w:hAnsi="宋体" w:cs="宋体"/>
          <w:szCs w:val="21"/>
          <w:highlight w:val="none"/>
          <w:lang w:eastAsia="zh-TW"/>
        </w:rPr>
        <w:t>本</w:t>
      </w:r>
      <w:r>
        <w:rPr>
          <w:rFonts w:hint="eastAsia" w:ascii="宋体" w:hAnsi="宋体" w:cs="宋体"/>
          <w:szCs w:val="21"/>
          <w:highlight w:val="none"/>
        </w:rPr>
        <w:t>”</w:t>
      </w:r>
      <w:r>
        <w:rPr>
          <w:rFonts w:hint="eastAsia" w:ascii="宋体" w:hAnsi="宋体" w:cs="宋体"/>
          <w:szCs w:val="21"/>
          <w:highlight w:val="none"/>
          <w:lang w:eastAsia="zh-TW"/>
        </w:rPr>
        <w:t>字样。</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投标文件封装：</w:t>
      </w:r>
    </w:p>
    <w:p>
      <w:pPr>
        <w:numPr>
          <w:ilvl w:val="2"/>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清楚标明递交至</w:t>
      </w:r>
      <w:r>
        <w:rPr>
          <w:rFonts w:hint="eastAsia" w:ascii="宋体" w:hAnsi="宋体" w:cs="宋体"/>
          <w:b/>
          <w:szCs w:val="21"/>
          <w:highlight w:val="none"/>
          <w:lang w:eastAsia="zh-TW"/>
        </w:rPr>
        <w:t>投标资料表</w:t>
      </w:r>
      <w:r>
        <w:rPr>
          <w:rFonts w:hint="eastAsia" w:ascii="宋体" w:hAnsi="宋体" w:cs="宋体"/>
          <w:szCs w:val="21"/>
          <w:highlight w:val="none"/>
          <w:lang w:eastAsia="zh-TW"/>
        </w:rPr>
        <w:t>中指明的地址</w:t>
      </w:r>
      <w:r>
        <w:rPr>
          <w:rFonts w:hint="eastAsia" w:ascii="宋体" w:hAnsi="宋体" w:cs="宋体"/>
          <w:szCs w:val="21"/>
          <w:highlight w:val="none"/>
        </w:rPr>
        <w:t>及写明投标人名称和地址</w:t>
      </w:r>
      <w:r>
        <w:rPr>
          <w:rFonts w:hint="eastAsia" w:ascii="宋体" w:hAnsi="宋体" w:cs="宋体"/>
          <w:szCs w:val="21"/>
          <w:highlight w:val="none"/>
          <w:lang w:eastAsia="zh-TW"/>
        </w:rPr>
        <w:t>。</w:t>
      </w:r>
    </w:p>
    <w:p>
      <w:pPr>
        <w:numPr>
          <w:ilvl w:val="2"/>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注明投标邀请中指明的项目名称、</w:t>
      </w:r>
      <w:r>
        <w:rPr>
          <w:rFonts w:hint="eastAsia" w:ascii="宋体" w:hAnsi="宋体" w:cs="宋体"/>
          <w:szCs w:val="21"/>
          <w:highlight w:val="none"/>
        </w:rPr>
        <w:t>项目</w:t>
      </w:r>
      <w:r>
        <w:rPr>
          <w:rFonts w:hint="eastAsia" w:ascii="宋体" w:hAnsi="宋体" w:cs="宋体"/>
          <w:szCs w:val="21"/>
          <w:highlight w:val="none"/>
          <w:lang w:eastAsia="zh-TW"/>
        </w:rPr>
        <w:t>编号、包组号（如有）和</w:t>
      </w:r>
      <w:r>
        <w:rPr>
          <w:rFonts w:hint="eastAsia" w:ascii="宋体" w:hAnsi="宋体" w:cs="宋体"/>
          <w:szCs w:val="21"/>
          <w:highlight w:val="none"/>
        </w:rPr>
        <w:t>“</w:t>
      </w:r>
      <w:r>
        <w:rPr>
          <w:rFonts w:hint="eastAsia" w:ascii="宋体" w:hAnsi="宋体" w:cs="宋体"/>
          <w:szCs w:val="21"/>
          <w:highlight w:val="none"/>
          <w:lang w:eastAsia="zh-TW"/>
        </w:rPr>
        <w:t>在</w:t>
      </w:r>
      <w:r>
        <w:rPr>
          <w:rFonts w:hint="eastAsia" w:ascii="宋体" w:hAnsi="宋体" w:cs="宋体"/>
          <w:szCs w:val="21"/>
          <w:highlight w:val="none"/>
        </w:rPr>
        <w:t>(招标文件中规定的开标日期和时间)之前不得启封”的</w:t>
      </w:r>
      <w:r>
        <w:rPr>
          <w:rFonts w:hint="eastAsia" w:ascii="宋体" w:hAnsi="宋体" w:cs="宋体"/>
          <w:szCs w:val="21"/>
          <w:highlight w:val="none"/>
          <w:lang w:eastAsia="zh-TW"/>
        </w:rPr>
        <w:t>字样。</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如果未按本须知</w:t>
      </w:r>
      <w:r>
        <w:rPr>
          <w:rFonts w:hint="eastAsia" w:ascii="宋体" w:hAnsi="宋体" w:cs="宋体"/>
          <w:szCs w:val="21"/>
          <w:highlight w:val="none"/>
        </w:rPr>
        <w:t>上款</w:t>
      </w:r>
      <w:r>
        <w:rPr>
          <w:rFonts w:hint="eastAsia" w:ascii="宋体" w:hAnsi="宋体" w:cs="宋体"/>
          <w:szCs w:val="21"/>
          <w:highlight w:val="none"/>
          <w:lang w:eastAsia="zh-TW"/>
        </w:rPr>
        <w:t>要求加写标记和</w:t>
      </w:r>
      <w:r>
        <w:rPr>
          <w:rFonts w:hint="eastAsia" w:ascii="宋体" w:hAnsi="宋体" w:cs="宋体"/>
          <w:szCs w:val="21"/>
          <w:highlight w:val="none"/>
        </w:rPr>
        <w:t>密封，</w:t>
      </w:r>
      <w:r>
        <w:rPr>
          <w:rFonts w:hint="eastAsia" w:ascii="宋体" w:hAnsi="宋体" w:cs="宋体"/>
          <w:szCs w:val="21"/>
          <w:highlight w:val="none"/>
          <w:lang w:eastAsia="zh-TW"/>
        </w:rPr>
        <w:t>招标代理机构对误投或提前启封概不负责</w:t>
      </w:r>
      <w:r>
        <w:rPr>
          <w:rFonts w:hint="eastAsia" w:ascii="宋体" w:hAnsi="宋体" w:cs="宋体"/>
          <w:szCs w:val="21"/>
          <w:highlight w:val="none"/>
        </w:rPr>
        <w:t>。</w:t>
      </w:r>
    </w:p>
    <w:p>
      <w:pPr>
        <w:numPr>
          <w:ilvl w:val="0"/>
          <w:numId w:val="90"/>
        </w:numPr>
        <w:shd w:val="clear"/>
        <w:snapToGrid w:val="0"/>
        <w:spacing w:line="360" w:lineRule="auto"/>
        <w:outlineLvl w:val="0"/>
        <w:rPr>
          <w:rFonts w:ascii="宋体" w:hAnsi="宋体" w:cs="宋体"/>
          <w:b/>
          <w:bCs/>
          <w:szCs w:val="21"/>
          <w:highlight w:val="none"/>
        </w:rPr>
      </w:pPr>
      <w:bookmarkStart w:id="65" w:name="_Toc356482726"/>
      <w:bookmarkStart w:id="66" w:name="_Toc15144"/>
      <w:r>
        <w:rPr>
          <w:rFonts w:hint="eastAsia" w:ascii="宋体" w:hAnsi="宋体" w:cs="宋体"/>
          <w:b/>
          <w:bCs/>
          <w:szCs w:val="21"/>
          <w:highlight w:val="none"/>
        </w:rPr>
        <w:t>投标截止期</w:t>
      </w:r>
      <w:bookmarkEnd w:id="65"/>
      <w:bookmarkEnd w:id="66"/>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投标人应在不迟于</w:t>
      </w:r>
      <w:r>
        <w:rPr>
          <w:rFonts w:hint="eastAsia" w:ascii="宋体" w:hAnsi="宋体" w:cs="宋体"/>
          <w:b/>
          <w:szCs w:val="21"/>
          <w:highlight w:val="none"/>
        </w:rPr>
        <w:t>投标资料表</w:t>
      </w:r>
      <w:r>
        <w:rPr>
          <w:rFonts w:hint="eastAsia" w:ascii="宋体" w:hAnsi="宋体" w:cs="宋体"/>
          <w:szCs w:val="21"/>
          <w:highlight w:val="none"/>
          <w:lang w:eastAsia="zh-TW"/>
        </w:rPr>
        <w:t>中规定的截止日期和时间将投标文件递交至招标代理机构</w:t>
      </w:r>
      <w:r>
        <w:rPr>
          <w:rFonts w:hint="eastAsia" w:ascii="宋体" w:hAnsi="宋体" w:cs="宋体"/>
          <w:szCs w:val="21"/>
          <w:highlight w:val="none"/>
        </w:rPr>
        <w:t>，</w:t>
      </w:r>
      <w:r>
        <w:rPr>
          <w:rFonts w:hint="eastAsia" w:ascii="宋体" w:hAnsi="宋体" w:cs="宋体"/>
          <w:szCs w:val="21"/>
          <w:highlight w:val="none"/>
          <w:lang w:eastAsia="zh-TW"/>
        </w:rPr>
        <w:t>递交地点应是</w:t>
      </w:r>
      <w:r>
        <w:rPr>
          <w:rFonts w:hint="eastAsia" w:ascii="宋体" w:hAnsi="宋体" w:cs="宋体"/>
          <w:b/>
          <w:szCs w:val="21"/>
          <w:highlight w:val="none"/>
          <w:lang w:eastAsia="zh-TW"/>
        </w:rPr>
        <w:t>投标资料表</w:t>
      </w:r>
      <w:r>
        <w:rPr>
          <w:rFonts w:hint="eastAsia" w:ascii="宋体" w:hAnsi="宋体" w:cs="宋体"/>
          <w:szCs w:val="21"/>
          <w:highlight w:val="none"/>
          <w:lang w:eastAsia="zh-TW"/>
        </w:rPr>
        <w:t>中指明的地址。</w:t>
      </w:r>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为使投标人准备投标时有充分时间对招标文件的修改部分进行研究，招标采购单位可适当推迟投标截止期，但应发布公告并书面通知所有购买招标文件的潜在投标人。在此情况下</w:t>
      </w:r>
      <w:r>
        <w:rPr>
          <w:rFonts w:hint="eastAsia" w:ascii="宋体" w:hAnsi="宋体" w:cs="宋体"/>
          <w:szCs w:val="21"/>
          <w:highlight w:val="none"/>
        </w:rPr>
        <w:t>，</w:t>
      </w:r>
      <w:r>
        <w:rPr>
          <w:rFonts w:hint="eastAsia" w:ascii="宋体" w:hAnsi="宋体" w:cs="宋体"/>
          <w:szCs w:val="21"/>
          <w:highlight w:val="none"/>
          <w:lang w:eastAsia="zh-TW"/>
        </w:rPr>
        <w:t>招标采购单位和投标人受投标截止期制约的所有权利和义务均应延长至新的截止期。</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招标代理机构将拒绝并原封退回在规定的</w:t>
      </w:r>
      <w:r>
        <w:rPr>
          <w:rFonts w:hint="eastAsia" w:ascii="宋体" w:hAnsi="宋体" w:cs="宋体"/>
          <w:szCs w:val="21"/>
          <w:highlight w:val="none"/>
        </w:rPr>
        <w:t>投标</w:t>
      </w:r>
      <w:r>
        <w:rPr>
          <w:rFonts w:hint="eastAsia" w:ascii="宋体" w:hAnsi="宋体" w:cs="宋体"/>
          <w:szCs w:val="21"/>
          <w:highlight w:val="none"/>
          <w:lang w:eastAsia="zh-TW"/>
        </w:rPr>
        <w:t>截止期后收到的任何投标文件。</w:t>
      </w:r>
    </w:p>
    <w:p>
      <w:pPr>
        <w:numPr>
          <w:ilvl w:val="0"/>
          <w:numId w:val="90"/>
        </w:numPr>
        <w:shd w:val="clear"/>
        <w:snapToGrid w:val="0"/>
        <w:spacing w:line="360" w:lineRule="auto"/>
        <w:outlineLvl w:val="0"/>
        <w:rPr>
          <w:rFonts w:ascii="宋体" w:hAnsi="宋体" w:cs="宋体"/>
          <w:b/>
          <w:bCs/>
          <w:szCs w:val="21"/>
          <w:highlight w:val="none"/>
        </w:rPr>
      </w:pPr>
      <w:bookmarkStart w:id="67" w:name="_Toc5976"/>
      <w:bookmarkStart w:id="68" w:name="_Toc356482727"/>
      <w:r>
        <w:rPr>
          <w:rFonts w:hint="eastAsia" w:ascii="宋体" w:hAnsi="宋体" w:cs="宋体"/>
          <w:b/>
          <w:bCs/>
          <w:szCs w:val="21"/>
          <w:highlight w:val="none"/>
        </w:rPr>
        <w:t>投标文件的修改和撤回</w:t>
      </w:r>
      <w:bookmarkEnd w:id="67"/>
      <w:bookmarkEnd w:id="68"/>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投标人在投标截止时间前，可以对所递交的投标文件进行补充、修改或者撤回，并书面通知招标采购单位。补充、修改的内容应当按招标文件要求签署、盖章，并作为投标文件的组成部分。在投标截止时间之后，投标人不得对其投标文件做任何修改和补充。</w:t>
      </w:r>
    </w:p>
    <w:p>
      <w:pPr>
        <w:shd w:val="clear"/>
        <w:snapToGrid w:val="0"/>
        <w:spacing w:line="360" w:lineRule="auto"/>
        <w:jc w:val="center"/>
        <w:outlineLvl w:val="0"/>
        <w:rPr>
          <w:rFonts w:ascii="宋体" w:hAnsi="宋体" w:cs="宋体"/>
          <w:szCs w:val="21"/>
          <w:highlight w:val="none"/>
          <w:lang w:eastAsia="zh-TW"/>
        </w:rPr>
      </w:pPr>
    </w:p>
    <w:p>
      <w:pPr>
        <w:numPr>
          <w:ilvl w:val="0"/>
          <w:numId w:val="89"/>
        </w:numPr>
        <w:shd w:val="clear"/>
        <w:snapToGrid w:val="0"/>
        <w:spacing w:line="360" w:lineRule="auto"/>
        <w:jc w:val="center"/>
        <w:outlineLvl w:val="0"/>
        <w:rPr>
          <w:rFonts w:ascii="宋体" w:hAnsi="宋体"/>
          <w:b/>
          <w:sz w:val="28"/>
          <w:szCs w:val="28"/>
          <w:highlight w:val="none"/>
          <w:lang w:eastAsia="zh-TW"/>
        </w:rPr>
      </w:pPr>
      <w:bookmarkStart w:id="69" w:name="_Toc356482728"/>
      <w:bookmarkStart w:id="70" w:name="_Toc3242"/>
      <w:r>
        <w:rPr>
          <w:rFonts w:hint="eastAsia" w:ascii="宋体" w:hAnsi="宋体"/>
          <w:b/>
          <w:sz w:val="28"/>
          <w:szCs w:val="28"/>
          <w:highlight w:val="none"/>
          <w:lang w:eastAsia="zh-TW"/>
        </w:rPr>
        <w:t>开标与评标</w:t>
      </w:r>
      <w:bookmarkEnd w:id="69"/>
      <w:bookmarkEnd w:id="70"/>
    </w:p>
    <w:p>
      <w:pPr>
        <w:numPr>
          <w:ilvl w:val="0"/>
          <w:numId w:val="90"/>
        </w:numPr>
        <w:shd w:val="clear"/>
        <w:snapToGrid w:val="0"/>
        <w:spacing w:line="360" w:lineRule="auto"/>
        <w:outlineLvl w:val="0"/>
        <w:rPr>
          <w:rFonts w:ascii="宋体" w:hAnsi="宋体" w:cs="宋体"/>
          <w:b/>
          <w:bCs/>
          <w:szCs w:val="21"/>
          <w:highlight w:val="none"/>
        </w:rPr>
      </w:pPr>
      <w:bookmarkStart w:id="71" w:name="_Toc16580"/>
      <w:bookmarkStart w:id="72" w:name="_Toc356482729"/>
      <w:r>
        <w:rPr>
          <w:rFonts w:hint="eastAsia" w:ascii="宋体" w:hAnsi="宋体" w:cs="宋体"/>
          <w:b/>
          <w:bCs/>
          <w:szCs w:val="21"/>
          <w:highlight w:val="none"/>
        </w:rPr>
        <w:t>开标</w:t>
      </w:r>
      <w:bookmarkEnd w:id="71"/>
      <w:bookmarkEnd w:id="72"/>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招标代理机构在投标邀请中规定的日期、时</w:t>
      </w:r>
      <w:r>
        <w:rPr>
          <w:rFonts w:hint="eastAsia" w:ascii="宋体" w:hAnsi="宋体" w:cs="宋体"/>
          <w:szCs w:val="21"/>
          <w:highlight w:val="none"/>
        </w:rPr>
        <w:t>间</w:t>
      </w:r>
      <w:r>
        <w:rPr>
          <w:rFonts w:hint="eastAsia" w:ascii="宋体" w:hAnsi="宋体" w:cs="宋体"/>
          <w:szCs w:val="21"/>
          <w:highlight w:val="none"/>
          <w:lang w:eastAsia="zh-TW"/>
        </w:rPr>
        <w:t>和地点组织公开开标。开标时邀请所有投标人代表参加。参加开标的代表应签名报到以证明其出席。</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开标时</w:t>
      </w:r>
      <w:r>
        <w:rPr>
          <w:rFonts w:hint="eastAsia" w:ascii="宋体" w:hAnsi="宋体" w:cs="宋体"/>
          <w:szCs w:val="21"/>
          <w:highlight w:val="none"/>
        </w:rPr>
        <w:t>，</w:t>
      </w:r>
      <w:r>
        <w:rPr>
          <w:rFonts w:hint="eastAsia" w:ascii="宋体" w:hAnsi="宋体" w:cs="宋体"/>
          <w:szCs w:val="21"/>
          <w:highlight w:val="none"/>
          <w:lang w:eastAsia="zh-TW"/>
        </w:rPr>
        <w:t>由按签到顺序递交投标文件的前三名投标人代表作为全体投标人推选的代表</w:t>
      </w:r>
      <w:r>
        <w:rPr>
          <w:rFonts w:hint="eastAsia" w:ascii="宋体" w:hAnsi="宋体" w:cs="宋体"/>
          <w:szCs w:val="21"/>
          <w:highlight w:val="none"/>
        </w:rPr>
        <w:t>就所有</w:t>
      </w:r>
      <w:r>
        <w:rPr>
          <w:rFonts w:hint="eastAsia" w:ascii="宋体" w:hAnsi="宋体" w:cs="宋体"/>
          <w:szCs w:val="21"/>
          <w:highlight w:val="none"/>
          <w:lang w:eastAsia="zh-TW"/>
        </w:rPr>
        <w:t>投标文件的密封情况</w:t>
      </w:r>
      <w:r>
        <w:rPr>
          <w:rFonts w:hint="eastAsia" w:ascii="宋体" w:hAnsi="宋体" w:cs="宋体"/>
          <w:szCs w:val="21"/>
          <w:highlight w:val="none"/>
        </w:rPr>
        <w:t>进行检查，</w:t>
      </w:r>
      <w:r>
        <w:rPr>
          <w:rFonts w:hint="eastAsia" w:ascii="宋体" w:hAnsi="宋体" w:cs="宋体"/>
          <w:szCs w:val="21"/>
          <w:highlight w:val="none"/>
          <w:lang w:eastAsia="zh-TW"/>
        </w:rPr>
        <w:t>也可以由</w:t>
      </w:r>
      <w:r>
        <w:rPr>
          <w:rFonts w:hint="eastAsia" w:ascii="宋体" w:hAnsi="宋体" w:cs="宋体"/>
          <w:szCs w:val="21"/>
          <w:highlight w:val="none"/>
        </w:rPr>
        <w:t>招标</w:t>
      </w:r>
      <w:r>
        <w:rPr>
          <w:rFonts w:hint="eastAsia" w:ascii="宋体" w:hAnsi="宋体" w:cs="宋体"/>
          <w:szCs w:val="21"/>
          <w:highlight w:val="none"/>
          <w:lang w:eastAsia="zh-TW"/>
        </w:rPr>
        <w:t>采购</w:t>
      </w:r>
      <w:r>
        <w:rPr>
          <w:rFonts w:hint="eastAsia" w:ascii="宋体" w:hAnsi="宋体" w:cs="宋体"/>
          <w:szCs w:val="21"/>
          <w:highlight w:val="none"/>
        </w:rPr>
        <w:t>单位</w:t>
      </w:r>
      <w:r>
        <w:rPr>
          <w:rFonts w:hint="eastAsia" w:ascii="宋体" w:hAnsi="宋体" w:cs="宋体"/>
          <w:szCs w:val="21"/>
          <w:highlight w:val="none"/>
          <w:lang w:eastAsia="zh-TW"/>
        </w:rPr>
        <w:t>委托的机构检查并见证，经确认无误后由招标工作人员当众拆封，宣读投标人名称、投标价格、价格折扣、投标文件的其他主要内容和招标文件允许提供的备选投标方案</w:t>
      </w:r>
      <w:r>
        <w:rPr>
          <w:rFonts w:hint="eastAsia" w:ascii="宋体" w:hAnsi="宋体" w:cs="宋体"/>
          <w:szCs w:val="21"/>
          <w:highlight w:val="none"/>
        </w:rPr>
        <w:t>，</w:t>
      </w:r>
      <w:r>
        <w:rPr>
          <w:rFonts w:hint="eastAsia" w:ascii="宋体" w:hAnsi="宋体" w:cs="宋体"/>
          <w:szCs w:val="21"/>
          <w:highlight w:val="none"/>
          <w:lang w:eastAsia="zh-TW"/>
        </w:rPr>
        <w:t>以及招标代理机构认为合适的其他内容。</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在开标时</w:t>
      </w:r>
      <w:r>
        <w:rPr>
          <w:rFonts w:hint="eastAsia" w:ascii="宋体" w:hAnsi="宋体" w:cs="宋体"/>
          <w:szCs w:val="21"/>
          <w:highlight w:val="none"/>
        </w:rPr>
        <w:t>，未宣读的投标价格、价格折扣和招标文件允许提供的备选投标方案等实质内容，</w:t>
      </w:r>
      <w:r>
        <w:rPr>
          <w:rFonts w:hint="eastAsia" w:ascii="宋体" w:hAnsi="宋体" w:cs="宋体"/>
          <w:szCs w:val="21"/>
          <w:highlight w:val="none"/>
          <w:lang w:eastAsia="zh-TW"/>
        </w:rPr>
        <w:t>评标时不予</w:t>
      </w:r>
      <w:r>
        <w:rPr>
          <w:rFonts w:hint="eastAsia" w:ascii="宋体" w:hAnsi="宋体" w:cs="宋体"/>
          <w:szCs w:val="21"/>
          <w:highlight w:val="none"/>
        </w:rPr>
        <w:t>承认</w:t>
      </w:r>
      <w:r>
        <w:rPr>
          <w:rFonts w:hint="eastAsia" w:ascii="宋体" w:hAnsi="宋体" w:cs="宋体"/>
          <w:szCs w:val="21"/>
          <w:highlight w:val="none"/>
          <w:lang w:eastAsia="zh-TW"/>
        </w:rPr>
        <w:t>。</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招标代理机构将做开标记录</w:t>
      </w:r>
      <w:r>
        <w:rPr>
          <w:rFonts w:hint="eastAsia" w:ascii="宋体" w:hAnsi="宋体" w:cs="宋体"/>
          <w:szCs w:val="21"/>
          <w:highlight w:val="none"/>
        </w:rPr>
        <w:t>，开标记录由</w:t>
      </w:r>
      <w:r>
        <w:rPr>
          <w:rFonts w:hint="eastAsia" w:ascii="宋体" w:hAnsi="宋体" w:cs="宋体"/>
          <w:szCs w:val="21"/>
          <w:highlight w:val="none"/>
          <w:lang w:eastAsia="zh-TW"/>
        </w:rPr>
        <w:t>投标人代表和有关人员共同</w:t>
      </w:r>
      <w:r>
        <w:rPr>
          <w:rFonts w:hint="eastAsia" w:ascii="宋体" w:hAnsi="宋体" w:cs="宋体"/>
          <w:szCs w:val="21"/>
          <w:highlight w:val="none"/>
        </w:rPr>
        <w:t>签字确认</w:t>
      </w:r>
      <w:r>
        <w:rPr>
          <w:rFonts w:hint="eastAsia" w:ascii="宋体" w:hAnsi="宋体" w:cs="宋体"/>
          <w:szCs w:val="21"/>
          <w:highlight w:val="none"/>
          <w:lang w:eastAsia="zh-TW"/>
        </w:rPr>
        <w:t>。</w:t>
      </w:r>
    </w:p>
    <w:p>
      <w:pPr>
        <w:numPr>
          <w:ilvl w:val="0"/>
          <w:numId w:val="90"/>
        </w:numPr>
        <w:shd w:val="clear"/>
        <w:snapToGrid w:val="0"/>
        <w:spacing w:line="360" w:lineRule="auto"/>
        <w:outlineLvl w:val="0"/>
        <w:rPr>
          <w:rFonts w:ascii="宋体" w:hAnsi="宋体" w:cs="宋体"/>
          <w:b/>
          <w:bCs/>
          <w:szCs w:val="21"/>
          <w:highlight w:val="none"/>
        </w:rPr>
      </w:pPr>
      <w:bookmarkStart w:id="73" w:name="_Toc4924"/>
      <w:bookmarkStart w:id="74" w:name="_Toc356482730"/>
      <w:r>
        <w:rPr>
          <w:rFonts w:hint="eastAsia" w:ascii="宋体" w:hAnsi="宋体" w:cs="宋体"/>
          <w:b/>
          <w:bCs/>
          <w:szCs w:val="21"/>
          <w:highlight w:val="none"/>
        </w:rPr>
        <w:t>评标委员会和评标方法</w:t>
      </w:r>
      <w:bookmarkEnd w:id="73"/>
      <w:bookmarkEnd w:id="74"/>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评标由依照</w:t>
      </w:r>
      <w:r>
        <w:rPr>
          <w:rFonts w:hint="eastAsia" w:ascii="宋体" w:hAnsi="宋体" w:cs="宋体"/>
          <w:szCs w:val="21"/>
          <w:highlight w:val="none"/>
        </w:rPr>
        <w:t>招标投标</w:t>
      </w:r>
      <w:r>
        <w:rPr>
          <w:rFonts w:hint="eastAsia" w:ascii="宋体" w:hAnsi="宋体" w:cs="宋体"/>
          <w:szCs w:val="21"/>
          <w:highlight w:val="none"/>
          <w:lang w:eastAsia="zh-TW"/>
        </w:rPr>
        <w:t>法律、法规、规章、政策的规定，组建的评标委员会负责。评标委员会成员按</w:t>
      </w:r>
      <w:r>
        <w:rPr>
          <w:rFonts w:hint="eastAsia" w:ascii="宋体" w:hAnsi="宋体" w:cs="宋体"/>
          <w:szCs w:val="21"/>
          <w:highlight w:val="none"/>
        </w:rPr>
        <w:t>招标投标</w:t>
      </w:r>
      <w:r>
        <w:rPr>
          <w:rFonts w:hint="eastAsia" w:ascii="宋体" w:hAnsi="宋体" w:cs="宋体"/>
          <w:szCs w:val="21"/>
          <w:highlight w:val="none"/>
          <w:lang w:eastAsia="zh-TW"/>
        </w:rPr>
        <w:t>规定由</w:t>
      </w:r>
      <w:r>
        <w:rPr>
          <w:rFonts w:hint="eastAsia" w:ascii="宋体" w:hAnsi="宋体" w:cs="宋体"/>
          <w:szCs w:val="21"/>
          <w:highlight w:val="none"/>
        </w:rPr>
        <w:t>招标</w:t>
      </w:r>
      <w:r>
        <w:rPr>
          <w:rFonts w:hint="eastAsia" w:ascii="宋体" w:hAnsi="宋体" w:cs="宋体"/>
          <w:szCs w:val="21"/>
          <w:highlight w:val="none"/>
          <w:lang w:eastAsia="zh-TW"/>
        </w:rPr>
        <w:t>人代表和</w:t>
      </w:r>
      <w:r>
        <w:rPr>
          <w:rFonts w:hint="eastAsia" w:ascii="宋体" w:hAnsi="宋体" w:cs="宋体"/>
          <w:szCs w:val="21"/>
          <w:highlight w:val="none"/>
        </w:rPr>
        <w:t>有关</w:t>
      </w:r>
      <w:r>
        <w:rPr>
          <w:rFonts w:hint="eastAsia" w:ascii="宋体" w:hAnsi="宋体" w:cs="宋体"/>
          <w:szCs w:val="21"/>
          <w:highlight w:val="none"/>
          <w:lang w:eastAsia="zh-TW"/>
        </w:rPr>
        <w:t>技术、经济等方面的专家组成，招标人代表人数、专家人数构成将按照</w:t>
      </w:r>
      <w:r>
        <w:rPr>
          <w:rFonts w:hint="eastAsia" w:ascii="宋体" w:hAnsi="宋体" w:cs="宋体"/>
          <w:b/>
          <w:szCs w:val="21"/>
          <w:highlight w:val="none"/>
          <w:lang w:eastAsia="zh-TW"/>
        </w:rPr>
        <w:t>投标资料表</w:t>
      </w:r>
      <w:r>
        <w:rPr>
          <w:rFonts w:hint="eastAsia" w:ascii="宋体" w:hAnsi="宋体" w:cs="宋体"/>
          <w:szCs w:val="21"/>
          <w:highlight w:val="none"/>
          <w:lang w:eastAsia="zh-TW"/>
        </w:rPr>
        <w:t>中确定。评标委员会成员依法从专家库中随机抽取。</w:t>
      </w:r>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评标委员会名单在</w:t>
      </w:r>
      <w:r>
        <w:rPr>
          <w:rFonts w:hint="eastAsia" w:ascii="宋体" w:hAnsi="宋体" w:cs="宋体"/>
          <w:szCs w:val="21"/>
          <w:highlight w:val="none"/>
        </w:rPr>
        <w:t>评审</w:t>
      </w:r>
      <w:r>
        <w:rPr>
          <w:rFonts w:hint="eastAsia" w:ascii="宋体" w:hAnsi="宋体" w:cs="宋体"/>
          <w:szCs w:val="21"/>
          <w:highlight w:val="none"/>
          <w:lang w:eastAsia="zh-TW"/>
        </w:rPr>
        <w:t>结果确定前严格保密。评审专家（不含招标人代表）有下列情形之一的，受到邀请应主动提出回避，采购当事人也可以要求该评审专家回避：</w:t>
      </w:r>
    </w:p>
    <w:p>
      <w:pPr>
        <w:numPr>
          <w:ilvl w:val="2"/>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三年内曾在参加该采购项目供应商中任职或担任顾问的；</w:t>
      </w:r>
    </w:p>
    <w:p>
      <w:pPr>
        <w:numPr>
          <w:ilvl w:val="2"/>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配偶或直系亲属在参加该采购项目的供应商中任职或担任顾问的；</w:t>
      </w:r>
    </w:p>
    <w:p>
      <w:pPr>
        <w:numPr>
          <w:ilvl w:val="2"/>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与参加该采购项目供应商发生过法律纠纷的；</w:t>
      </w:r>
    </w:p>
    <w:p>
      <w:pPr>
        <w:numPr>
          <w:ilvl w:val="2"/>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任职单位与招标人或参与该采购项目供应商存在行政隶属关系的；</w:t>
      </w:r>
    </w:p>
    <w:p>
      <w:pPr>
        <w:numPr>
          <w:ilvl w:val="2"/>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参与招标文件论证的；</w:t>
      </w:r>
    </w:p>
    <w:p>
      <w:pPr>
        <w:numPr>
          <w:ilvl w:val="2"/>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法律、法规、规章规定应当回避以及其他可能影响公正评审的。</w:t>
      </w:r>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评标委员会和有关工作人员不得透露对投标文件的评审和比较以及与评标有关的其他情况。</w:t>
      </w:r>
    </w:p>
    <w:p>
      <w:pPr>
        <w:numPr>
          <w:ilvl w:val="1"/>
          <w:numId w:val="90"/>
        </w:numPr>
        <w:shd w:val="clear"/>
        <w:snapToGrid w:val="0"/>
        <w:spacing w:line="420" w:lineRule="auto"/>
        <w:rPr>
          <w:rFonts w:ascii="宋体" w:hAnsi="宋体" w:cs="宋体"/>
          <w:szCs w:val="21"/>
          <w:highlight w:val="none"/>
          <w:lang w:eastAsia="zh-TW"/>
        </w:rPr>
      </w:pPr>
      <w:r>
        <w:rPr>
          <w:rFonts w:hint="eastAsia" w:ascii="宋体" w:hAnsi="宋体" w:cs="宋体"/>
          <w:szCs w:val="21"/>
          <w:highlight w:val="none"/>
          <w:lang w:eastAsia="zh-TW"/>
        </w:rPr>
        <w:t>评标委员会将按照</w:t>
      </w:r>
      <w:r>
        <w:rPr>
          <w:rFonts w:hint="eastAsia" w:ascii="宋体" w:hAnsi="宋体" w:cs="宋体"/>
          <w:b/>
          <w:szCs w:val="21"/>
          <w:highlight w:val="none"/>
          <w:lang w:eastAsia="zh-TW"/>
        </w:rPr>
        <w:t>投标资料表</w:t>
      </w:r>
      <w:r>
        <w:rPr>
          <w:rFonts w:hint="eastAsia" w:ascii="宋体" w:hAnsi="宋体" w:cs="宋体"/>
          <w:szCs w:val="21"/>
          <w:highlight w:val="none"/>
          <w:lang w:eastAsia="zh-TW"/>
        </w:rPr>
        <w:t>中确定的评标方法</w:t>
      </w:r>
      <w:r>
        <w:rPr>
          <w:rFonts w:hint="eastAsia" w:ascii="宋体" w:hAnsi="宋体" w:cs="宋体"/>
          <w:szCs w:val="21"/>
          <w:highlight w:val="none"/>
        </w:rPr>
        <w:t>和</w:t>
      </w:r>
      <w:r>
        <w:rPr>
          <w:rFonts w:hint="eastAsia" w:ascii="宋体" w:hAnsi="宋体" w:cs="宋体"/>
          <w:szCs w:val="21"/>
          <w:highlight w:val="none"/>
          <w:lang w:eastAsia="zh-TW"/>
        </w:rPr>
        <w:t>本招标文件第</w:t>
      </w:r>
      <w:r>
        <w:rPr>
          <w:rFonts w:hint="eastAsia" w:ascii="宋体" w:hAnsi="宋体" w:cs="宋体"/>
          <w:szCs w:val="21"/>
          <w:highlight w:val="none"/>
        </w:rPr>
        <w:t>五</w:t>
      </w:r>
      <w:r>
        <w:rPr>
          <w:rFonts w:hint="eastAsia" w:ascii="宋体" w:hAnsi="宋体" w:cs="宋体"/>
          <w:szCs w:val="21"/>
          <w:highlight w:val="none"/>
          <w:lang w:eastAsia="zh-TW"/>
        </w:rPr>
        <w:t>章中规定</w:t>
      </w:r>
      <w:r>
        <w:rPr>
          <w:rFonts w:hint="eastAsia" w:ascii="宋体" w:hAnsi="宋体" w:cs="宋体"/>
          <w:szCs w:val="21"/>
          <w:highlight w:val="none"/>
        </w:rPr>
        <w:t>的评标</w:t>
      </w:r>
      <w:r>
        <w:rPr>
          <w:rFonts w:hint="eastAsia" w:ascii="宋体" w:hAnsi="宋体" w:cs="宋体"/>
          <w:szCs w:val="21"/>
          <w:highlight w:val="none"/>
          <w:lang w:eastAsia="zh-TW"/>
        </w:rPr>
        <w:t>标准进行评标。</w:t>
      </w:r>
    </w:p>
    <w:p>
      <w:pPr>
        <w:numPr>
          <w:ilvl w:val="0"/>
          <w:numId w:val="90"/>
        </w:numPr>
        <w:shd w:val="clear"/>
        <w:snapToGrid w:val="0"/>
        <w:spacing w:line="360" w:lineRule="auto"/>
        <w:outlineLvl w:val="0"/>
        <w:rPr>
          <w:rFonts w:ascii="宋体" w:hAnsi="宋体" w:cs="宋体"/>
          <w:b/>
          <w:bCs/>
          <w:szCs w:val="21"/>
          <w:highlight w:val="none"/>
        </w:rPr>
      </w:pPr>
      <w:bookmarkStart w:id="75" w:name="_Toc356482731"/>
      <w:bookmarkStart w:id="76" w:name="_Toc3761"/>
      <w:r>
        <w:rPr>
          <w:rFonts w:hint="eastAsia" w:ascii="宋体" w:hAnsi="宋体" w:cs="宋体"/>
          <w:b/>
          <w:bCs/>
          <w:szCs w:val="21"/>
          <w:highlight w:val="none"/>
        </w:rPr>
        <w:t>投标文件的初审</w:t>
      </w:r>
      <w:bookmarkEnd w:id="75"/>
      <w:bookmarkEnd w:id="76"/>
    </w:p>
    <w:p>
      <w:pPr>
        <w:numPr>
          <w:ilvl w:val="1"/>
          <w:numId w:val="90"/>
        </w:numPr>
        <w:shd w:val="clear"/>
        <w:snapToGrid w:val="0"/>
        <w:spacing w:line="360" w:lineRule="auto"/>
        <w:rPr>
          <w:rFonts w:ascii="宋体" w:hAnsi="宋体" w:cs="宋体"/>
          <w:b/>
          <w:bCs/>
          <w:szCs w:val="21"/>
          <w:highlight w:val="none"/>
        </w:rPr>
      </w:pPr>
      <w:r>
        <w:rPr>
          <w:rFonts w:hint="eastAsia" w:ascii="宋体" w:cs="宋体"/>
          <w:szCs w:val="21"/>
          <w:highlight w:val="none"/>
        </w:rPr>
        <w:t>招标人或招标代理机构对投标人资格进行审查，对初步被认定为资格性审查不合格的，可实行告知投标当事人，以让其核证、澄清事实。未通过资格性审查的投标人，不进入符合性审查。</w:t>
      </w:r>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通过资格审查的投标人由评标委员会对其投标文件进行符合性审查，以确定其是否满足招标文件的实质性要求。评标委员会对初步被认定为符合性审查不合格或无效投标者可实行告知投标当事人，由评标委员会主任或</w:t>
      </w:r>
      <w:r>
        <w:rPr>
          <w:rFonts w:hint="eastAsia" w:ascii="宋体" w:hAnsi="宋体" w:cs="宋体"/>
          <w:szCs w:val="21"/>
          <w:highlight w:val="none"/>
        </w:rPr>
        <w:t>招标人</w:t>
      </w:r>
      <w:r>
        <w:rPr>
          <w:rFonts w:hint="eastAsia" w:ascii="宋体" w:hAnsi="宋体" w:cs="宋体"/>
          <w:szCs w:val="21"/>
          <w:highlight w:val="none"/>
          <w:lang w:eastAsia="zh-TW"/>
        </w:rPr>
        <w:t>代表将集体意见现场及时告知投标当事人，以让其核证、澄清事实。未通过符合性审查的投标人，不进入技术、商务和价格评审。</w:t>
      </w:r>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评标委员会将</w:t>
      </w:r>
      <w:r>
        <w:rPr>
          <w:rFonts w:hint="eastAsia" w:ascii="宋体" w:hAnsi="宋体" w:cs="宋体"/>
          <w:szCs w:val="21"/>
          <w:highlight w:val="none"/>
        </w:rPr>
        <w:t>依法</w:t>
      </w:r>
      <w:r>
        <w:rPr>
          <w:rFonts w:hint="eastAsia" w:ascii="宋体" w:hAnsi="宋体" w:cs="宋体"/>
          <w:szCs w:val="21"/>
          <w:highlight w:val="none"/>
          <w:lang w:eastAsia="zh-TW"/>
        </w:rPr>
        <w:t>审查投标文件是否完整、文件签署是否合格、是否按招标文件的规定密封和标记、投标人是否</w:t>
      </w:r>
      <w:r>
        <w:rPr>
          <w:rFonts w:hint="eastAsia" w:ascii="宋体" w:hAnsi="宋体" w:cs="宋体"/>
          <w:szCs w:val="21"/>
          <w:highlight w:val="none"/>
        </w:rPr>
        <w:t>缴纳</w:t>
      </w:r>
      <w:r>
        <w:rPr>
          <w:rFonts w:hint="eastAsia" w:ascii="宋体" w:hAnsi="宋体" w:cs="宋体"/>
          <w:szCs w:val="21"/>
          <w:highlight w:val="none"/>
          <w:lang w:eastAsia="zh-TW"/>
        </w:rPr>
        <w:t>了投标保证金、有无计算</w:t>
      </w:r>
      <w:r>
        <w:rPr>
          <w:rFonts w:hint="eastAsia" w:ascii="宋体" w:hAnsi="宋体" w:cs="宋体"/>
          <w:szCs w:val="21"/>
          <w:highlight w:val="none"/>
        </w:rPr>
        <w:t>上</w:t>
      </w:r>
      <w:r>
        <w:rPr>
          <w:rFonts w:hint="eastAsia" w:ascii="宋体" w:hAnsi="宋体" w:cs="宋体"/>
          <w:szCs w:val="21"/>
          <w:highlight w:val="none"/>
          <w:lang w:eastAsia="zh-TW"/>
        </w:rPr>
        <w:t>的错误等。</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开标时，投标文件中开标一览表(报价表)内容与投标文件中明细表内容不一致的，以开标一览表(报价表)为准。投标文件中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r>
        <w:rPr>
          <w:rFonts w:hint="eastAsia" w:ascii="宋体" w:hAnsi="宋体" w:cs="宋体"/>
          <w:szCs w:val="21"/>
          <w:highlight w:val="none"/>
        </w:rPr>
        <w:t>。如果投标人不接受对其错误的更正，其投标将被视为无效投标或确定为投标无效。</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对于投标文件中不构成实质性偏差的不正规、不一致或不规则</w:t>
      </w:r>
      <w:r>
        <w:rPr>
          <w:rFonts w:hint="eastAsia" w:ascii="宋体" w:hAnsi="宋体" w:cs="宋体"/>
          <w:szCs w:val="21"/>
          <w:highlight w:val="none"/>
        </w:rPr>
        <w:t>，</w:t>
      </w:r>
      <w:r>
        <w:rPr>
          <w:rFonts w:hint="eastAsia" w:ascii="宋体" w:hAnsi="宋体" w:cs="宋体"/>
          <w:szCs w:val="21"/>
          <w:highlight w:val="none"/>
          <w:lang w:eastAsia="zh-TW"/>
        </w:rPr>
        <w:t>评标委员会可以接受</w:t>
      </w:r>
      <w:r>
        <w:rPr>
          <w:rFonts w:hint="eastAsia" w:ascii="宋体" w:hAnsi="宋体" w:cs="宋体"/>
          <w:szCs w:val="21"/>
          <w:highlight w:val="none"/>
        </w:rPr>
        <w:t>，</w:t>
      </w:r>
      <w:r>
        <w:rPr>
          <w:rFonts w:hint="eastAsia" w:ascii="宋体" w:hAnsi="宋体" w:cs="宋体"/>
          <w:szCs w:val="21"/>
          <w:highlight w:val="none"/>
          <w:lang w:eastAsia="zh-TW"/>
        </w:rPr>
        <w:t>但这种接受不能损害或影响任何投标人的相对排序。</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在详细评标之前</w:t>
      </w:r>
      <w:r>
        <w:rPr>
          <w:rFonts w:hint="eastAsia" w:ascii="宋体" w:hAnsi="宋体" w:cs="宋体"/>
          <w:szCs w:val="21"/>
          <w:highlight w:val="none"/>
        </w:rPr>
        <w:t>，</w:t>
      </w:r>
      <w:r>
        <w:rPr>
          <w:rFonts w:hint="eastAsia" w:ascii="宋体" w:hAnsi="宋体" w:cs="宋体"/>
          <w:szCs w:val="21"/>
          <w:highlight w:val="none"/>
          <w:lang w:eastAsia="zh-TW"/>
        </w:rPr>
        <w:t>评标委员会要审查每份投标文件是否实质上响应了招标文件的要求。实质上</w:t>
      </w:r>
      <w:r>
        <w:rPr>
          <w:rFonts w:hint="eastAsia" w:ascii="宋体" w:hAnsi="宋体" w:cs="宋体"/>
          <w:szCs w:val="21"/>
          <w:highlight w:val="none"/>
        </w:rPr>
        <w:t>响</w:t>
      </w:r>
      <w:r>
        <w:rPr>
          <w:rFonts w:hint="eastAsia" w:ascii="宋体" w:hAnsi="宋体" w:cs="宋体"/>
          <w:szCs w:val="21"/>
          <w:highlight w:val="none"/>
          <w:lang w:eastAsia="zh-TW"/>
        </w:rPr>
        <w:t>应的投标</w:t>
      </w:r>
      <w:r>
        <w:rPr>
          <w:rFonts w:hint="eastAsia" w:ascii="宋体" w:hAnsi="宋体" w:cs="宋体"/>
          <w:szCs w:val="21"/>
          <w:highlight w:val="none"/>
        </w:rPr>
        <w:t>文件</w:t>
      </w:r>
      <w:r>
        <w:rPr>
          <w:rFonts w:hint="eastAsia" w:ascii="宋体" w:hAnsi="宋体" w:cs="宋体"/>
          <w:szCs w:val="21"/>
          <w:highlight w:val="none"/>
          <w:lang w:eastAsia="zh-TW"/>
        </w:rPr>
        <w:t>应该是与招标文件要求的关键条款</w:t>
      </w:r>
      <w:r>
        <w:rPr>
          <w:rFonts w:hint="eastAsia" w:ascii="宋体" w:hAnsi="宋体" w:cs="宋体"/>
          <w:szCs w:val="21"/>
          <w:highlight w:val="none"/>
        </w:rPr>
        <w:t>、</w:t>
      </w:r>
      <w:r>
        <w:rPr>
          <w:rFonts w:hint="eastAsia" w:ascii="宋体" w:hAnsi="宋体" w:cs="宋体"/>
          <w:szCs w:val="21"/>
          <w:highlight w:val="none"/>
          <w:lang w:eastAsia="zh-TW"/>
        </w:rPr>
        <w:t>条件和规格相符</w:t>
      </w:r>
      <w:r>
        <w:rPr>
          <w:rFonts w:hint="eastAsia" w:ascii="宋体" w:hAnsi="宋体" w:cs="宋体"/>
          <w:szCs w:val="21"/>
          <w:highlight w:val="none"/>
        </w:rPr>
        <w:t>或优于，</w:t>
      </w:r>
      <w:r>
        <w:rPr>
          <w:rFonts w:hint="eastAsia" w:ascii="宋体" w:hAnsi="宋体" w:cs="宋体"/>
          <w:szCs w:val="21"/>
          <w:highlight w:val="none"/>
          <w:lang w:eastAsia="zh-TW"/>
        </w:rPr>
        <w:t>没有</w:t>
      </w:r>
      <w:r>
        <w:rPr>
          <w:rFonts w:hint="eastAsia" w:ascii="宋体" w:hAnsi="宋体" w:cs="宋体"/>
          <w:szCs w:val="21"/>
          <w:highlight w:val="none"/>
        </w:rPr>
        <w:t>实质</w:t>
      </w:r>
      <w:r>
        <w:rPr>
          <w:rFonts w:hint="eastAsia" w:ascii="宋体" w:hAnsi="宋体" w:cs="宋体"/>
          <w:szCs w:val="21"/>
          <w:highlight w:val="none"/>
          <w:lang w:eastAsia="zh-TW"/>
        </w:rPr>
        <w:t>偏离的投标</w:t>
      </w:r>
      <w:r>
        <w:rPr>
          <w:rFonts w:hint="eastAsia" w:ascii="宋体" w:hAnsi="宋体" w:cs="宋体"/>
          <w:szCs w:val="21"/>
          <w:highlight w:val="none"/>
        </w:rPr>
        <w:t>文件</w:t>
      </w:r>
      <w:r>
        <w:rPr>
          <w:rFonts w:hint="eastAsia" w:ascii="宋体" w:hAnsi="宋体" w:cs="宋体"/>
          <w:szCs w:val="21"/>
          <w:highlight w:val="none"/>
          <w:lang w:eastAsia="zh-TW"/>
        </w:rPr>
        <w:t>。评标委员会决定投标的响应性只根据投标</w:t>
      </w:r>
      <w:r>
        <w:rPr>
          <w:rFonts w:hint="eastAsia" w:ascii="宋体" w:hAnsi="宋体" w:cs="宋体"/>
          <w:szCs w:val="21"/>
          <w:highlight w:val="none"/>
        </w:rPr>
        <w:t>文件</w:t>
      </w:r>
      <w:r>
        <w:rPr>
          <w:rFonts w:hint="eastAsia" w:ascii="宋体" w:hAnsi="宋体" w:cs="宋体"/>
          <w:szCs w:val="21"/>
          <w:highlight w:val="none"/>
          <w:lang w:eastAsia="zh-TW"/>
        </w:rPr>
        <w:t>本身的真实无误的内容</w:t>
      </w:r>
      <w:r>
        <w:rPr>
          <w:rFonts w:hint="eastAsia" w:ascii="宋体" w:hAnsi="宋体" w:cs="宋体"/>
          <w:szCs w:val="21"/>
          <w:highlight w:val="none"/>
        </w:rPr>
        <w:t>，</w:t>
      </w:r>
      <w:r>
        <w:rPr>
          <w:rFonts w:hint="eastAsia" w:ascii="宋体" w:hAnsi="宋体" w:cs="宋体"/>
          <w:szCs w:val="21"/>
          <w:highlight w:val="none"/>
          <w:lang w:eastAsia="zh-TW"/>
        </w:rPr>
        <w:t>而不依据外部的证据</w:t>
      </w:r>
      <w:r>
        <w:rPr>
          <w:rFonts w:hint="eastAsia" w:ascii="宋体" w:hAnsi="宋体" w:cs="宋体"/>
          <w:szCs w:val="21"/>
          <w:highlight w:val="none"/>
        </w:rPr>
        <w:t>，</w:t>
      </w:r>
      <w:r>
        <w:rPr>
          <w:rFonts w:hint="eastAsia" w:ascii="宋体" w:hAnsi="宋体" w:cs="宋体"/>
          <w:szCs w:val="21"/>
          <w:highlight w:val="none"/>
          <w:lang w:eastAsia="zh-TW"/>
        </w:rPr>
        <w:t>但投标有不真实不正确的内容时除外。</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lang w:eastAsia="zh-TW"/>
        </w:rPr>
        <w:t>实质上没有响应招标文件要求的投标将</w:t>
      </w:r>
      <w:r>
        <w:rPr>
          <w:rFonts w:hint="eastAsia" w:ascii="宋体" w:hAnsi="宋体" w:cs="宋体"/>
          <w:szCs w:val="21"/>
          <w:highlight w:val="none"/>
        </w:rPr>
        <w:t>被视为无效投标</w:t>
      </w:r>
      <w:r>
        <w:rPr>
          <w:rFonts w:hint="eastAsia" w:ascii="宋体" w:hAnsi="宋体" w:cs="宋体"/>
          <w:szCs w:val="21"/>
          <w:highlight w:val="none"/>
          <w:lang w:eastAsia="zh-TW"/>
        </w:rPr>
        <w:t>。投标人不得通过修正或撤销不合要求的偏离或保留从而使其投标成为实质上响应的投标。</w:t>
      </w:r>
    </w:p>
    <w:p>
      <w:pPr>
        <w:numPr>
          <w:ilvl w:val="2"/>
          <w:numId w:val="90"/>
        </w:numPr>
        <w:shd w:val="clear"/>
        <w:tabs>
          <w:tab w:val="left" w:pos="756"/>
        </w:tabs>
        <w:snapToGrid w:val="0"/>
        <w:spacing w:line="360" w:lineRule="auto"/>
        <w:ind w:left="756" w:hanging="756"/>
        <w:rPr>
          <w:rFonts w:ascii="宋体" w:hAnsi="宋体" w:cs="宋体"/>
          <w:szCs w:val="21"/>
          <w:highlight w:val="none"/>
        </w:rPr>
      </w:pPr>
      <w:r>
        <w:rPr>
          <w:rFonts w:hint="eastAsia" w:ascii="宋体" w:hAnsi="宋体" w:cs="宋体"/>
          <w:szCs w:val="21"/>
          <w:highlight w:val="none"/>
          <w:lang w:eastAsia="zh-TW"/>
        </w:rPr>
        <w:t>在资格性审查、符合性检查时，未能通过资格性、符合性审查被认定为无效投标，只有全部满足《资格性和符合性审查条款》所列各项要求的投标才是有效投标，只要不满足资格性和符合性条款中所列各项要求之一的，将被认定为无效投标。对投标有效性认定意见不一致的，评标委员会按简单多数原则表决决定。无效投标不能进入技术、商务及价格评审。具体条款详见招标文件《资格性和符合性评审条款》。</w:t>
      </w:r>
    </w:p>
    <w:p>
      <w:pPr>
        <w:numPr>
          <w:ilvl w:val="0"/>
          <w:numId w:val="90"/>
        </w:numPr>
        <w:shd w:val="clear"/>
        <w:snapToGrid w:val="0"/>
        <w:spacing w:line="360" w:lineRule="auto"/>
        <w:outlineLvl w:val="0"/>
        <w:rPr>
          <w:rFonts w:ascii="宋体" w:hAnsi="宋体" w:cs="宋体"/>
          <w:b/>
          <w:bCs/>
          <w:szCs w:val="21"/>
          <w:highlight w:val="none"/>
        </w:rPr>
      </w:pPr>
      <w:bookmarkStart w:id="77" w:name="_Toc17958"/>
      <w:bookmarkStart w:id="78" w:name="_Toc356482732"/>
      <w:r>
        <w:rPr>
          <w:rFonts w:hint="eastAsia" w:ascii="宋体" w:hAnsi="宋体" w:cs="宋体"/>
          <w:b/>
          <w:bCs/>
          <w:szCs w:val="21"/>
          <w:highlight w:val="none"/>
        </w:rPr>
        <w:t>投标文件的澄清</w:t>
      </w:r>
      <w:bookmarkEnd w:id="77"/>
      <w:bookmarkEnd w:id="78"/>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评标期间，对投标文件中含义不明确、同类问题表述不一致或者有明显文字和计算错误的内容，评标委员会可以书面形式（应当由评标委员会专家签字）要求投标人作出必要的澄清、说明或者纠正，但</w:t>
      </w:r>
      <w:r>
        <w:rPr>
          <w:rFonts w:hint="eastAsia" w:ascii="宋体" w:hAnsi="宋体" w:cs="宋体"/>
          <w:szCs w:val="21"/>
          <w:highlight w:val="none"/>
        </w:rPr>
        <w:t>不得超出投标文件的范围或者改变投标文件的实质性内容。</w:t>
      </w:r>
      <w:r>
        <w:rPr>
          <w:rFonts w:hint="eastAsia" w:ascii="宋体" w:hAnsi="宋体" w:cs="宋体"/>
          <w:szCs w:val="21"/>
          <w:highlight w:val="none"/>
          <w:lang w:eastAsia="zh-TW"/>
        </w:rPr>
        <w:t>投标人的澄清、说明或者补正应当采用书面形式</w:t>
      </w:r>
      <w:r>
        <w:rPr>
          <w:rFonts w:hint="eastAsia" w:ascii="宋体" w:hAnsi="宋体" w:cs="宋体"/>
          <w:szCs w:val="21"/>
          <w:highlight w:val="none"/>
        </w:rPr>
        <w:t>，</w:t>
      </w:r>
      <w:r>
        <w:rPr>
          <w:rFonts w:hint="eastAsia" w:ascii="宋体" w:hAnsi="宋体" w:cs="宋体"/>
          <w:szCs w:val="21"/>
          <w:highlight w:val="none"/>
          <w:lang w:eastAsia="zh-TW"/>
        </w:rPr>
        <w:t>由其授权的代表签字</w:t>
      </w:r>
      <w:r>
        <w:rPr>
          <w:rFonts w:hint="eastAsia" w:ascii="宋体" w:hAnsi="宋体" w:cs="宋体"/>
          <w:szCs w:val="21"/>
          <w:highlight w:val="none"/>
        </w:rPr>
        <w:t>或盖章</w:t>
      </w:r>
      <w:r>
        <w:rPr>
          <w:rFonts w:hint="eastAsia" w:ascii="宋体" w:hAnsi="宋体" w:cs="宋体"/>
          <w:szCs w:val="21"/>
          <w:highlight w:val="none"/>
          <w:lang w:eastAsia="zh-TW"/>
        </w:rPr>
        <w:t>，并不得超出投标文件的范围或者改变投标文件的实质性内容</w:t>
      </w:r>
      <w:r>
        <w:rPr>
          <w:rFonts w:hint="eastAsia" w:ascii="宋体" w:hAnsi="宋体" w:cs="宋体"/>
          <w:szCs w:val="21"/>
          <w:highlight w:val="none"/>
        </w:rPr>
        <w:t>。</w:t>
      </w:r>
      <w:r>
        <w:rPr>
          <w:rFonts w:hint="eastAsia" w:ascii="宋体" w:hAnsi="宋体" w:cs="宋体"/>
          <w:szCs w:val="21"/>
          <w:highlight w:val="none"/>
          <w:lang w:eastAsia="zh-TW"/>
        </w:rPr>
        <w:t>有关澄清的答复均应由投标人的法定代表人或授权代表签字</w:t>
      </w:r>
      <w:r>
        <w:rPr>
          <w:rFonts w:hint="eastAsia" w:ascii="宋体" w:hAnsi="宋体" w:cs="宋体"/>
          <w:szCs w:val="21"/>
          <w:highlight w:val="none"/>
        </w:rPr>
        <w:t>或盖章</w:t>
      </w:r>
      <w:r>
        <w:rPr>
          <w:rFonts w:hint="eastAsia" w:ascii="宋体" w:hAnsi="宋体" w:cs="宋体"/>
          <w:szCs w:val="21"/>
          <w:highlight w:val="none"/>
          <w:lang w:eastAsia="zh-TW"/>
        </w:rPr>
        <w:t>的书面形式作出。</w:t>
      </w:r>
    </w:p>
    <w:p>
      <w:pPr>
        <w:numPr>
          <w:ilvl w:val="1"/>
          <w:numId w:val="90"/>
        </w:numPr>
        <w:shd w:val="clear"/>
        <w:snapToGrid w:val="0"/>
        <w:spacing w:line="360" w:lineRule="auto"/>
        <w:rPr>
          <w:rFonts w:ascii="宋体" w:hAnsi="宋体" w:cs="宋体"/>
          <w:szCs w:val="21"/>
          <w:highlight w:val="none"/>
          <w:lang w:eastAsia="zh-TW"/>
        </w:rPr>
      </w:pPr>
      <w:r>
        <w:rPr>
          <w:rFonts w:hint="eastAsia" w:ascii="宋体" w:hAnsi="宋体" w:cs="宋体"/>
          <w:szCs w:val="21"/>
          <w:highlight w:val="none"/>
          <w:lang w:eastAsia="zh-TW"/>
        </w:rPr>
        <w:t>投标人的澄清文件是其投标文件的组成部分。</w:t>
      </w:r>
    </w:p>
    <w:p>
      <w:pPr>
        <w:numPr>
          <w:ilvl w:val="0"/>
          <w:numId w:val="90"/>
        </w:numPr>
        <w:shd w:val="clear"/>
        <w:snapToGrid w:val="0"/>
        <w:spacing w:line="360" w:lineRule="auto"/>
        <w:outlineLvl w:val="0"/>
        <w:rPr>
          <w:rFonts w:ascii="宋体" w:hAnsi="宋体" w:cs="宋体"/>
          <w:b/>
          <w:bCs/>
          <w:szCs w:val="21"/>
          <w:highlight w:val="none"/>
        </w:rPr>
      </w:pPr>
      <w:bookmarkStart w:id="79" w:name="_Toc356482733"/>
      <w:bookmarkStart w:id="80" w:name="_Toc23284"/>
      <w:r>
        <w:rPr>
          <w:rFonts w:hint="eastAsia" w:ascii="宋体" w:hAnsi="宋体" w:cs="宋体"/>
          <w:b/>
          <w:bCs/>
          <w:szCs w:val="21"/>
          <w:highlight w:val="none"/>
        </w:rPr>
        <w:t>投标文件详细评价</w:t>
      </w:r>
      <w:bookmarkEnd w:id="79"/>
      <w:bookmarkEnd w:id="80"/>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rPr>
        <w:t>评</w:t>
      </w:r>
      <w:r>
        <w:rPr>
          <w:rFonts w:hint="eastAsia" w:ascii="宋体" w:hAnsi="宋体" w:cs="宋体"/>
          <w:szCs w:val="21"/>
          <w:highlight w:val="none"/>
          <w:lang w:eastAsia="zh-TW"/>
        </w:rPr>
        <w:t>标委员会将</w:t>
      </w:r>
      <w:r>
        <w:rPr>
          <w:rFonts w:hint="eastAsia" w:ascii="宋体" w:hAnsi="宋体" w:cs="宋体"/>
          <w:szCs w:val="21"/>
          <w:highlight w:val="none"/>
        </w:rPr>
        <w:t>对通过</w:t>
      </w:r>
      <w:r>
        <w:rPr>
          <w:rFonts w:hint="eastAsia" w:ascii="宋体" w:hAnsi="宋体" w:cs="宋体"/>
          <w:szCs w:val="21"/>
          <w:highlight w:val="none"/>
          <w:lang w:eastAsia="zh-TW"/>
        </w:rPr>
        <w:t>资格性、符合性审查的投标</w:t>
      </w:r>
      <w:r>
        <w:rPr>
          <w:rFonts w:hint="eastAsia" w:ascii="宋体" w:hAnsi="宋体" w:cs="宋体"/>
          <w:szCs w:val="21"/>
          <w:highlight w:val="none"/>
        </w:rPr>
        <w:t>文件</w:t>
      </w:r>
      <w:r>
        <w:rPr>
          <w:rFonts w:hint="eastAsia" w:ascii="宋体" w:hAnsi="宋体" w:cs="宋体"/>
          <w:szCs w:val="21"/>
          <w:highlight w:val="none"/>
          <w:lang w:eastAsia="zh-TW"/>
        </w:rPr>
        <w:t>进行</w:t>
      </w:r>
      <w:r>
        <w:rPr>
          <w:rFonts w:hint="eastAsia" w:ascii="宋体" w:hAnsi="宋体" w:cs="宋体"/>
          <w:szCs w:val="21"/>
          <w:highlight w:val="none"/>
        </w:rPr>
        <w:t>详细</w:t>
      </w:r>
      <w:r>
        <w:rPr>
          <w:rFonts w:hint="eastAsia" w:ascii="宋体" w:hAnsi="宋体" w:cs="宋体"/>
          <w:szCs w:val="21"/>
          <w:highlight w:val="none"/>
          <w:lang w:eastAsia="zh-TW"/>
        </w:rPr>
        <w:t>评价和比较</w:t>
      </w:r>
      <w:r>
        <w:rPr>
          <w:rFonts w:hint="eastAsia" w:ascii="宋体" w:hAnsi="宋体" w:cs="宋体"/>
          <w:szCs w:val="21"/>
          <w:highlight w:val="none"/>
        </w:rPr>
        <w:t>。</w:t>
      </w:r>
    </w:p>
    <w:p>
      <w:pPr>
        <w:numPr>
          <w:ilvl w:val="0"/>
          <w:numId w:val="90"/>
        </w:numPr>
        <w:shd w:val="clear"/>
        <w:snapToGrid w:val="0"/>
        <w:spacing w:line="360" w:lineRule="auto"/>
        <w:outlineLvl w:val="0"/>
        <w:rPr>
          <w:rFonts w:ascii="宋体" w:hAnsi="宋体" w:cs="宋体"/>
          <w:b/>
          <w:bCs/>
          <w:szCs w:val="21"/>
          <w:highlight w:val="none"/>
        </w:rPr>
      </w:pPr>
      <w:bookmarkStart w:id="81" w:name="_Toc245"/>
      <w:bookmarkStart w:id="82" w:name="_Toc356482734"/>
      <w:r>
        <w:rPr>
          <w:rFonts w:hint="eastAsia" w:ascii="宋体" w:hAnsi="宋体" w:cs="宋体"/>
          <w:b/>
          <w:bCs/>
          <w:szCs w:val="21"/>
          <w:highlight w:val="none"/>
        </w:rPr>
        <w:t>定标原则与授标</w:t>
      </w:r>
      <w:bookmarkEnd w:id="81"/>
      <w:bookmarkEnd w:id="82"/>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rPr>
        <w:t>评标委员会按照招标文件确定的评标方法、步骤、标准，对投标文件进行评审，提出书面评标报告。</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采用综合评分法的，按评审后得分由高到低顺序排列。得分相同的，按投标报价由低到高顺序排列。得分且投标报价相同的，按技术指标优劣顺序排列。除</w:t>
      </w:r>
      <w:r>
        <w:rPr>
          <w:rFonts w:hint="eastAsia" w:ascii="宋体" w:hAnsi="宋体" w:cs="宋体"/>
          <w:b/>
          <w:szCs w:val="21"/>
          <w:highlight w:val="none"/>
        </w:rPr>
        <w:t>投标资料表</w:t>
      </w:r>
      <w:r>
        <w:rPr>
          <w:rFonts w:hint="eastAsia" w:ascii="宋体" w:hAnsi="宋体" w:cs="宋体"/>
          <w:szCs w:val="21"/>
          <w:highlight w:val="none"/>
        </w:rPr>
        <w:t>另有规定的，推荐综合得分排名第一的投标人为第一中标候选人。</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采用</w:t>
      </w:r>
      <w:r>
        <w:rPr>
          <w:rFonts w:hint="eastAsia" w:ascii="宋体" w:hAnsi="宋体" w:cs="宋体"/>
          <w:szCs w:val="21"/>
          <w:highlight w:val="none"/>
          <w:lang w:eastAsia="zh-TW"/>
        </w:rPr>
        <w:t>最低评标价法</w:t>
      </w:r>
      <w:r>
        <w:rPr>
          <w:rFonts w:hint="eastAsia" w:ascii="宋体" w:hAnsi="宋体" w:cs="宋体"/>
          <w:szCs w:val="21"/>
          <w:highlight w:val="none"/>
        </w:rPr>
        <w:t>的，</w:t>
      </w:r>
      <w:r>
        <w:rPr>
          <w:rFonts w:hint="eastAsia" w:ascii="宋体" w:hAnsi="宋体" w:cs="宋体"/>
          <w:szCs w:val="21"/>
          <w:highlight w:val="none"/>
          <w:lang w:eastAsia="zh-TW"/>
        </w:rPr>
        <w:t>按投标报价由低到高顺序排列。投标报价相同的，按技术指标优劣顺序排列。评标委员会认为，排在前面的中标候选人的最低投标价或者某些分项报价明显不合理或者低于成本，有可能影响商品质量和不能诚信履约的，应当要求其在规定的期限内提供书面文件予以解释说明，并提交相关证明材料；否则，评标委员会可以取消该投标人的中标候选资格，按顺序由排在后面的中标候选人递补，以此类推。</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评标委员会决定投标的响应性只根据投标文件中提供的材料内容，而不依据外部的材料证据。</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评标委员会成员对需要共同认定的事项存在争议的，应当按照少数服从多数的原则作出结论。持不同意见的评标委员会成员应当在评标报告上签署不同意见及理由，否则视为同意评标报告。</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评标委员会提交评标报告和推荐中标意见报招标人确认，招标人在收到评标报告后的法定时间内，按照评标报告中推荐的中标候选人顺序确定中标人，也可以事先授权评标委员会直接确定中标人。确认后招标代理机构将在刊登本项目招标信息媒体上发布中标公告。不在中标名单之列者即为未中标人，招标代理机构不再以其他方式另行通知。</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因不可抗力或自身原因不能履行合同的、不按要求与招标人签订合同、中标人放弃中标、中标资格被依法确认无效的，应当重新组织招标活动。</w:t>
      </w:r>
    </w:p>
    <w:p>
      <w:pPr>
        <w:numPr>
          <w:ilvl w:val="0"/>
          <w:numId w:val="90"/>
        </w:numPr>
        <w:shd w:val="clear"/>
        <w:snapToGrid w:val="0"/>
        <w:spacing w:line="360" w:lineRule="auto"/>
        <w:outlineLvl w:val="0"/>
        <w:rPr>
          <w:rFonts w:ascii="宋体" w:hAnsi="宋体" w:cs="宋体"/>
          <w:b/>
          <w:bCs/>
          <w:szCs w:val="21"/>
          <w:highlight w:val="none"/>
        </w:rPr>
      </w:pPr>
      <w:bookmarkStart w:id="83" w:name="_Toc24549"/>
      <w:bookmarkStart w:id="84" w:name="_Toc356482735"/>
      <w:r>
        <w:rPr>
          <w:rFonts w:hint="eastAsia" w:ascii="宋体" w:hAnsi="宋体" w:cs="宋体"/>
          <w:b/>
          <w:bCs/>
          <w:szCs w:val="21"/>
          <w:highlight w:val="none"/>
        </w:rPr>
        <w:t>质疑与回复</w:t>
      </w:r>
      <w:bookmarkEnd w:id="83"/>
      <w:bookmarkEnd w:id="84"/>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rPr>
        <w:t>投标人有质疑时，应当在知道或者应知其权益受到损害之日起七个工作日内，以书面形式（加盖投标人公章）向招标采购单位提交质疑书原件，逾期质疑无效。投标人以电话、传真或电邮形式提交的质疑属于无效质疑。</w:t>
      </w:r>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rPr>
        <w:t>质疑内容不得含有虚假、恶意成分。依据谁主张谁举证的原则，质疑者提供的质疑书应当包括下列主要内容：具体的质疑事项、事实依据及相关确凿的证明材料和注明事实的确切来源、投标人名称、联系人与联系电话、质疑时间，质疑书应当署名并由法定代表人或授权代表签字并加盖公章。招标采购单位受理书面质疑书原件之日起，在规定的期限内作出答复。对于捏造事实、滥用维权扰乱采购秩序的恶意质疑者或举证不全查无实据被驳回次数在一年内达三次以上，将纳入不良行为记录名单并承担相应的法律责任。</w:t>
      </w:r>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rPr>
        <w:t>招标采购单位在收到供应商的有效书面质疑后七个工作日内作出答复，但答复的内容不涉及商业秘密，质疑供应商对招标人、招标代理机构的质疑答复不满意，或招标人、招标代理机构未在规定期限内作出答复的，可以在答复期满后十五个工作日内向上级部门提出投诉。</w:t>
      </w:r>
    </w:p>
    <w:p>
      <w:pPr>
        <w:numPr>
          <w:ilvl w:val="0"/>
          <w:numId w:val="90"/>
        </w:numPr>
        <w:shd w:val="clear"/>
        <w:snapToGrid w:val="0"/>
        <w:spacing w:line="360" w:lineRule="auto"/>
        <w:outlineLvl w:val="0"/>
        <w:rPr>
          <w:rFonts w:ascii="宋体" w:hAnsi="宋体" w:cs="宋体"/>
          <w:b/>
          <w:bCs/>
          <w:szCs w:val="21"/>
          <w:highlight w:val="none"/>
        </w:rPr>
      </w:pPr>
      <w:bookmarkStart w:id="85" w:name="_Toc356482736"/>
      <w:bookmarkStart w:id="86" w:name="_Toc5550"/>
      <w:r>
        <w:rPr>
          <w:rFonts w:hint="eastAsia" w:ascii="宋体" w:hAnsi="宋体" w:cs="宋体"/>
          <w:b/>
          <w:bCs/>
          <w:szCs w:val="21"/>
          <w:highlight w:val="none"/>
        </w:rPr>
        <w:t>中标通知书</w:t>
      </w:r>
      <w:bookmarkEnd w:id="85"/>
      <w:bookmarkEnd w:id="86"/>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中标人确定后</w:t>
      </w:r>
      <w:r>
        <w:rPr>
          <w:rFonts w:hint="eastAsia" w:ascii="宋体" w:hAnsi="宋体" w:cs="宋体"/>
          <w:szCs w:val="21"/>
          <w:highlight w:val="none"/>
        </w:rPr>
        <w:t>，</w:t>
      </w:r>
      <w:r>
        <w:rPr>
          <w:rFonts w:hint="eastAsia" w:ascii="宋体" w:hAnsi="宋体" w:cs="宋体"/>
          <w:szCs w:val="21"/>
          <w:highlight w:val="none"/>
          <w:lang w:eastAsia="zh-TW"/>
        </w:rPr>
        <w:t>招标代理机构将在</w:t>
      </w:r>
      <w:r>
        <w:rPr>
          <w:rFonts w:hint="eastAsia" w:ascii="宋体" w:hAnsi="宋体" w:cs="宋体"/>
          <w:szCs w:val="21"/>
          <w:highlight w:val="none"/>
        </w:rPr>
        <w:t>招标信息</w:t>
      </w:r>
      <w:r>
        <w:rPr>
          <w:rFonts w:hint="eastAsia" w:ascii="宋体" w:hAnsi="宋体" w:cs="宋体"/>
          <w:szCs w:val="21"/>
          <w:highlight w:val="none"/>
          <w:lang w:eastAsia="zh-TW"/>
        </w:rPr>
        <w:t>媒体上发布中标公告，并向中标人发出《中标通知书》</w:t>
      </w:r>
      <w:r>
        <w:rPr>
          <w:rFonts w:hint="eastAsia" w:ascii="宋体" w:hAnsi="宋体" w:cs="宋体"/>
          <w:szCs w:val="21"/>
          <w:highlight w:val="none"/>
        </w:rPr>
        <w:t>，向招标人及未中标人发出《招标结果通知书》，</w:t>
      </w:r>
      <w:r>
        <w:rPr>
          <w:rFonts w:hint="eastAsia" w:ascii="宋体" w:hAnsi="宋体" w:cs="宋体"/>
          <w:szCs w:val="21"/>
          <w:highlight w:val="none"/>
          <w:lang w:eastAsia="zh-TW"/>
        </w:rPr>
        <w:t>《中标通知书》对中标人和招标人具有同等法律效力。</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《中标通知书》将作为授予合同资格的合法依据，是合同的一个组成部分。</w:t>
      </w:r>
    </w:p>
    <w:p>
      <w:pPr>
        <w:numPr>
          <w:ilvl w:val="0"/>
          <w:numId w:val="89"/>
        </w:numPr>
        <w:shd w:val="clear"/>
        <w:snapToGrid w:val="0"/>
        <w:spacing w:line="360" w:lineRule="auto"/>
        <w:jc w:val="center"/>
        <w:outlineLvl w:val="0"/>
        <w:rPr>
          <w:rFonts w:ascii="宋体" w:hAnsi="宋体"/>
          <w:b/>
          <w:sz w:val="28"/>
          <w:szCs w:val="28"/>
          <w:highlight w:val="none"/>
          <w:lang w:eastAsia="zh-TW"/>
        </w:rPr>
      </w:pPr>
      <w:bookmarkStart w:id="87" w:name="_Toc356482737"/>
      <w:bookmarkStart w:id="88" w:name="_Toc27705"/>
      <w:r>
        <w:rPr>
          <w:rFonts w:hint="eastAsia" w:ascii="宋体" w:hAnsi="宋体"/>
          <w:b/>
          <w:sz w:val="28"/>
          <w:szCs w:val="28"/>
          <w:highlight w:val="none"/>
          <w:lang w:eastAsia="zh-TW"/>
        </w:rPr>
        <w:t>授予合同</w:t>
      </w:r>
      <w:bookmarkEnd w:id="87"/>
      <w:bookmarkEnd w:id="88"/>
    </w:p>
    <w:p>
      <w:pPr>
        <w:numPr>
          <w:ilvl w:val="0"/>
          <w:numId w:val="90"/>
        </w:numPr>
        <w:shd w:val="clear"/>
        <w:snapToGrid w:val="0"/>
        <w:spacing w:line="360" w:lineRule="auto"/>
        <w:outlineLvl w:val="0"/>
        <w:rPr>
          <w:rFonts w:ascii="宋体" w:hAnsi="宋体" w:cs="宋体"/>
          <w:b/>
          <w:bCs/>
          <w:szCs w:val="21"/>
          <w:highlight w:val="none"/>
        </w:rPr>
      </w:pPr>
      <w:bookmarkStart w:id="89" w:name="_Toc29138"/>
      <w:bookmarkStart w:id="90" w:name="_Toc356482738"/>
      <w:r>
        <w:rPr>
          <w:rFonts w:hint="eastAsia" w:ascii="宋体" w:hAnsi="宋体" w:cs="宋体"/>
          <w:b/>
          <w:bCs/>
          <w:szCs w:val="21"/>
          <w:highlight w:val="none"/>
        </w:rPr>
        <w:t>合同的订立</w:t>
      </w:r>
      <w:bookmarkEnd w:id="89"/>
      <w:bookmarkEnd w:id="90"/>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rPr>
        <w:t>除非</w:t>
      </w:r>
      <w:r>
        <w:rPr>
          <w:rFonts w:hint="eastAsia" w:ascii="宋体" w:hAnsi="宋体" w:cs="宋体"/>
          <w:b/>
          <w:szCs w:val="21"/>
          <w:highlight w:val="none"/>
        </w:rPr>
        <w:t>投标资料表</w:t>
      </w:r>
      <w:r>
        <w:rPr>
          <w:rFonts w:hint="eastAsia" w:ascii="宋体" w:hAnsi="宋体" w:cs="宋体"/>
          <w:szCs w:val="21"/>
          <w:highlight w:val="none"/>
        </w:rPr>
        <w:t>另有规定，</w:t>
      </w:r>
      <w:r>
        <w:rPr>
          <w:rFonts w:hint="eastAsia" w:ascii="宋体" w:hAnsi="宋体" w:cs="宋体"/>
          <w:szCs w:val="21"/>
          <w:highlight w:val="none"/>
          <w:lang w:eastAsia="zh-TW"/>
        </w:rPr>
        <w:t>招标人或者</w:t>
      </w:r>
      <w:r>
        <w:rPr>
          <w:rFonts w:hint="eastAsia" w:ascii="宋体" w:hAnsi="宋体" w:cs="宋体"/>
          <w:szCs w:val="21"/>
          <w:highlight w:val="none"/>
        </w:rPr>
        <w:t>招标代理机构</w:t>
      </w:r>
      <w:r>
        <w:rPr>
          <w:rFonts w:hint="eastAsia" w:ascii="宋体" w:hAnsi="宋体" w:cs="宋体"/>
          <w:szCs w:val="21"/>
          <w:highlight w:val="none"/>
          <w:lang w:eastAsia="zh-TW"/>
        </w:rPr>
        <w:t>应当自中标通知书发出之日起</w:t>
      </w:r>
      <w:r>
        <w:rPr>
          <w:rFonts w:hint="eastAsia" w:ascii="宋体" w:hAnsi="宋体" w:cs="宋体"/>
          <w:szCs w:val="21"/>
          <w:highlight w:val="none"/>
          <w:lang w:val="en-US" w:eastAsia="zh-CN"/>
        </w:rPr>
        <w:t>十</w:t>
      </w:r>
      <w:r>
        <w:rPr>
          <w:rFonts w:hint="eastAsia" w:ascii="宋体" w:hAnsi="宋体" w:cs="宋体"/>
          <w:szCs w:val="21"/>
          <w:highlight w:val="none"/>
        </w:rPr>
        <w:t>五个工作日</w:t>
      </w:r>
      <w:r>
        <w:rPr>
          <w:rFonts w:hint="eastAsia" w:ascii="宋体" w:hAnsi="宋体" w:cs="宋体"/>
          <w:szCs w:val="21"/>
          <w:highlight w:val="none"/>
          <w:lang w:eastAsia="zh-TW"/>
        </w:rPr>
        <w:t>内，按照招标文件和中标人投标文件的约定，与中标人签订书面合同。所签订的合同不得对招标文件和中标人投标文件作实质性修改</w:t>
      </w:r>
      <w:r>
        <w:rPr>
          <w:rFonts w:hint="eastAsia" w:ascii="宋体" w:hAnsi="宋体" w:cs="宋体"/>
          <w:szCs w:val="21"/>
          <w:highlight w:val="none"/>
        </w:rPr>
        <w:t>。</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 xml:space="preserve">招标采购单位不得向中标人提出任何不合理的要求，作为签订合同的条件，不得与中标人私下订立背离合同实质性内容的协议。 </w:t>
      </w:r>
    </w:p>
    <w:p>
      <w:pPr>
        <w:numPr>
          <w:ilvl w:val="0"/>
          <w:numId w:val="90"/>
        </w:numPr>
        <w:shd w:val="clear"/>
        <w:snapToGrid w:val="0"/>
        <w:spacing w:line="360" w:lineRule="auto"/>
        <w:outlineLvl w:val="0"/>
        <w:rPr>
          <w:rFonts w:ascii="宋体" w:hAnsi="宋体" w:cs="宋体"/>
          <w:b/>
          <w:bCs/>
          <w:szCs w:val="21"/>
          <w:highlight w:val="none"/>
        </w:rPr>
      </w:pPr>
      <w:bookmarkStart w:id="91" w:name="_Toc356482739"/>
      <w:bookmarkStart w:id="92" w:name="_Toc12940"/>
      <w:r>
        <w:rPr>
          <w:rFonts w:hint="eastAsia" w:ascii="宋体" w:hAnsi="宋体" w:cs="宋体"/>
          <w:b/>
          <w:bCs/>
          <w:szCs w:val="21"/>
          <w:highlight w:val="none"/>
        </w:rPr>
        <w:t>合同的履行</w:t>
      </w:r>
      <w:bookmarkEnd w:id="91"/>
      <w:bookmarkEnd w:id="92"/>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合同订立后，合同各方不得擅自变更、中止或者终止合同。合同需要变更的，招标人应将有关合同变更内容，以书面形式报</w:t>
      </w:r>
      <w:r>
        <w:rPr>
          <w:rFonts w:hint="eastAsia" w:ascii="宋体" w:hAnsi="宋体" w:cs="宋体"/>
          <w:szCs w:val="21"/>
          <w:highlight w:val="none"/>
        </w:rPr>
        <w:t>上级主管</w:t>
      </w:r>
      <w:r>
        <w:rPr>
          <w:rFonts w:hint="eastAsia" w:ascii="宋体" w:hAnsi="宋体" w:cs="宋体"/>
          <w:szCs w:val="21"/>
          <w:highlight w:val="none"/>
          <w:lang w:eastAsia="zh-TW"/>
        </w:rPr>
        <w:t>部门备案；因特殊情况需要中止或终止合同的，招标人应将中止或终止合同的理由以及相应措施，以书面形式报</w:t>
      </w:r>
      <w:r>
        <w:rPr>
          <w:rFonts w:hint="eastAsia" w:ascii="宋体" w:hAnsi="宋体" w:cs="宋体"/>
          <w:szCs w:val="21"/>
          <w:highlight w:val="none"/>
        </w:rPr>
        <w:t>上级主管</w:t>
      </w:r>
      <w:r>
        <w:rPr>
          <w:rFonts w:hint="eastAsia" w:ascii="宋体" w:hAnsi="宋体" w:cs="宋体"/>
          <w:szCs w:val="21"/>
          <w:highlight w:val="none"/>
          <w:lang w:eastAsia="zh-TW"/>
        </w:rPr>
        <w:t>部门备案。</w:t>
      </w:r>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合同履行中，招标人需追加与合同标的相同的货物、工程或者服务的，在不改变合同其他条款的前提下，可以与供应商签订补充合同，但所补充合同的采购金额不得超过原</w:t>
      </w:r>
      <w:r>
        <w:rPr>
          <w:rFonts w:hint="eastAsia" w:ascii="宋体" w:hAnsi="宋体" w:cs="宋体"/>
          <w:szCs w:val="21"/>
          <w:highlight w:val="none"/>
        </w:rPr>
        <w:t>合同</w:t>
      </w:r>
      <w:r>
        <w:rPr>
          <w:rFonts w:hint="eastAsia" w:ascii="宋体" w:hAnsi="宋体" w:cs="宋体"/>
          <w:szCs w:val="21"/>
          <w:highlight w:val="none"/>
          <w:lang w:eastAsia="zh-TW"/>
        </w:rPr>
        <w:t>采购金额的百分之十。签订补充合同的必须按规定备案。</w:t>
      </w:r>
    </w:p>
    <w:p>
      <w:pPr>
        <w:numPr>
          <w:ilvl w:val="0"/>
          <w:numId w:val="90"/>
        </w:numPr>
        <w:shd w:val="clear"/>
        <w:snapToGrid w:val="0"/>
        <w:spacing w:line="360" w:lineRule="auto"/>
        <w:outlineLvl w:val="0"/>
        <w:rPr>
          <w:rFonts w:ascii="宋体" w:hAnsi="宋体" w:cs="宋体"/>
          <w:b/>
          <w:bCs/>
          <w:szCs w:val="21"/>
          <w:highlight w:val="none"/>
        </w:rPr>
      </w:pPr>
      <w:bookmarkStart w:id="93" w:name="_Toc356482740"/>
      <w:bookmarkStart w:id="94" w:name="_Toc29763"/>
      <w:r>
        <w:rPr>
          <w:rFonts w:hint="eastAsia" w:ascii="宋体" w:hAnsi="宋体" w:cs="宋体"/>
          <w:b/>
          <w:bCs/>
          <w:szCs w:val="21"/>
          <w:highlight w:val="none"/>
        </w:rPr>
        <w:t>接受和拒绝任何或所有投标的权力</w:t>
      </w:r>
      <w:bookmarkEnd w:id="93"/>
      <w:bookmarkEnd w:id="94"/>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在特殊情况下</w:t>
      </w:r>
      <w:r>
        <w:rPr>
          <w:rFonts w:hint="eastAsia" w:ascii="宋体" w:hAnsi="宋体" w:cs="宋体"/>
          <w:szCs w:val="21"/>
          <w:highlight w:val="none"/>
        </w:rPr>
        <w:t>，</w:t>
      </w:r>
      <w:r>
        <w:rPr>
          <w:rFonts w:hint="eastAsia" w:ascii="宋体" w:hAnsi="宋体" w:cs="宋体"/>
          <w:szCs w:val="21"/>
          <w:highlight w:val="none"/>
          <w:lang w:eastAsia="zh-TW"/>
        </w:rPr>
        <w:t>招标采购单位保留在投标之前</w:t>
      </w:r>
      <w:r>
        <w:rPr>
          <w:rFonts w:hint="eastAsia" w:ascii="宋体" w:hAnsi="宋体" w:cs="宋体"/>
          <w:szCs w:val="21"/>
          <w:highlight w:val="none"/>
        </w:rPr>
        <w:t>拒</w:t>
      </w:r>
      <w:r>
        <w:rPr>
          <w:rFonts w:hint="eastAsia" w:ascii="宋体" w:hAnsi="宋体" w:cs="宋体"/>
          <w:szCs w:val="21"/>
          <w:highlight w:val="none"/>
          <w:lang w:eastAsia="zh-TW"/>
        </w:rPr>
        <w:t>绝任何投标以及宣布招标程序无效或拒绝所有投标的权力。</w:t>
      </w:r>
    </w:p>
    <w:p>
      <w:pPr>
        <w:numPr>
          <w:ilvl w:val="0"/>
          <w:numId w:val="90"/>
        </w:numPr>
        <w:shd w:val="clear"/>
        <w:snapToGrid w:val="0"/>
        <w:spacing w:line="360" w:lineRule="auto"/>
        <w:outlineLvl w:val="0"/>
        <w:rPr>
          <w:rFonts w:ascii="宋体" w:hAnsi="宋体" w:cs="宋体"/>
          <w:b/>
          <w:bCs/>
          <w:szCs w:val="21"/>
          <w:highlight w:val="none"/>
        </w:rPr>
      </w:pPr>
      <w:bookmarkStart w:id="95" w:name="_Toc356482741"/>
      <w:bookmarkStart w:id="96" w:name="_Toc31258"/>
      <w:r>
        <w:rPr>
          <w:rFonts w:hint="eastAsia" w:ascii="宋体" w:hAnsi="宋体" w:cs="宋体"/>
          <w:b/>
          <w:bCs/>
          <w:szCs w:val="21"/>
          <w:highlight w:val="none"/>
        </w:rPr>
        <w:t>履约保证金</w:t>
      </w:r>
      <w:bookmarkEnd w:id="95"/>
      <w:bookmarkEnd w:id="96"/>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lang w:eastAsia="zh-TW"/>
        </w:rPr>
        <w:t>中标人应按照</w:t>
      </w:r>
      <w:r>
        <w:rPr>
          <w:rFonts w:hint="eastAsia" w:ascii="宋体" w:hAnsi="宋体" w:cs="宋体"/>
          <w:b/>
          <w:szCs w:val="21"/>
          <w:highlight w:val="none"/>
        </w:rPr>
        <w:t>投标资料表</w:t>
      </w:r>
      <w:r>
        <w:rPr>
          <w:rFonts w:hint="eastAsia" w:ascii="宋体" w:hAnsi="宋体" w:cs="宋体"/>
          <w:szCs w:val="21"/>
          <w:highlight w:val="none"/>
          <w:lang w:eastAsia="zh-TW"/>
        </w:rPr>
        <w:t>规定的</w:t>
      </w:r>
      <w:r>
        <w:rPr>
          <w:rFonts w:hint="eastAsia" w:ascii="宋体" w:hAnsi="宋体" w:cs="宋体"/>
          <w:szCs w:val="21"/>
          <w:highlight w:val="none"/>
        </w:rPr>
        <w:t>金额，</w:t>
      </w:r>
      <w:r>
        <w:rPr>
          <w:rFonts w:hint="eastAsia" w:ascii="宋体" w:hAnsi="宋体" w:cs="宋体"/>
          <w:szCs w:val="21"/>
          <w:highlight w:val="none"/>
          <w:lang w:eastAsia="zh-TW"/>
        </w:rPr>
        <w:t>采用招标人可以接受的其他形式向招标人提交履约保证金。</w:t>
      </w:r>
    </w:p>
    <w:p>
      <w:pPr>
        <w:numPr>
          <w:ilvl w:val="0"/>
          <w:numId w:val="90"/>
        </w:numPr>
        <w:shd w:val="clear"/>
        <w:snapToGrid w:val="0"/>
        <w:spacing w:line="360" w:lineRule="auto"/>
        <w:outlineLvl w:val="0"/>
        <w:rPr>
          <w:rFonts w:ascii="宋体" w:hAnsi="宋体" w:cs="宋体"/>
          <w:b/>
          <w:bCs/>
          <w:szCs w:val="21"/>
          <w:highlight w:val="none"/>
        </w:rPr>
      </w:pPr>
      <w:r>
        <w:rPr>
          <w:rFonts w:hint="eastAsia" w:ascii="宋体" w:hAnsi="宋体" w:cs="宋体"/>
          <w:b/>
          <w:bCs/>
          <w:szCs w:val="21"/>
          <w:highlight w:val="none"/>
        </w:rPr>
        <w:t>招标代理服务费</w:t>
      </w:r>
      <w:bookmarkEnd w:id="17"/>
      <w:bookmarkEnd w:id="18"/>
      <w:bookmarkEnd w:id="19"/>
      <w:bookmarkEnd w:id="20"/>
    </w:p>
    <w:p>
      <w:pPr>
        <w:numPr>
          <w:ilvl w:val="1"/>
          <w:numId w:val="90"/>
        </w:numPr>
        <w:shd w:val="clear"/>
        <w:snapToGrid w:val="0"/>
        <w:spacing w:line="360" w:lineRule="auto"/>
        <w:rPr>
          <w:rFonts w:ascii="宋体" w:hAnsi="宋体" w:cs="宋体"/>
          <w:b/>
          <w:bCs/>
          <w:szCs w:val="21"/>
          <w:highlight w:val="none"/>
        </w:rPr>
      </w:pPr>
      <w:r>
        <w:rPr>
          <w:rFonts w:hint="eastAsia" w:ascii="宋体" w:hAnsi="宋体" w:cs="宋体"/>
          <w:szCs w:val="21"/>
          <w:highlight w:val="none"/>
        </w:rPr>
        <w:t>中标人应按照招标文件</w:t>
      </w:r>
      <w:r>
        <w:rPr>
          <w:rFonts w:hint="eastAsia" w:ascii="宋体" w:hAnsi="宋体" w:cs="宋体"/>
          <w:b/>
          <w:szCs w:val="21"/>
          <w:highlight w:val="none"/>
          <w:lang w:eastAsia="zh-TW"/>
        </w:rPr>
        <w:t>投标资料表</w:t>
      </w:r>
      <w:r>
        <w:rPr>
          <w:rFonts w:hint="eastAsia" w:ascii="宋体" w:hAnsi="宋体" w:cs="宋体"/>
          <w:szCs w:val="21"/>
          <w:highlight w:val="none"/>
        </w:rPr>
        <w:t>中的规定缴纳招标代理服务费。否则，不予退还其投标保证金。</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服务费按差额定率累进法计算。</w:t>
      </w:r>
    </w:p>
    <w:tbl>
      <w:tblPr>
        <w:tblStyle w:val="22"/>
        <w:tblW w:w="606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02"/>
        <w:gridCol w:w="32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2802" w:type="dxa"/>
          </w:tcPr>
          <w:p>
            <w:pPr>
              <w:shd w:val="clear"/>
              <w:snapToGrid w:val="0"/>
              <w:ind w:firstLine="1155" w:firstLineChars="550"/>
              <w:rPr>
                <w:rFonts w:ascii="宋体" w:hAnsi="宋体" w:cs="宋体"/>
                <w:szCs w:val="21"/>
                <w:highlight w:val="none"/>
              </w:rPr>
            </w:pPr>
            <w:r>
              <w:rPr>
                <w:rFonts w:hint="eastAsia" w:ascii="宋体" w:hAnsi="宋体" w:cs="宋体"/>
                <w:szCs w:val="21"/>
                <w:highlight w:val="none"/>
              </w:rPr>
              <mc:AlternateContent>
                <mc:Choice Requires="wps">
                  <w:drawing>
                    <wp:anchor distT="0" distB="0" distL="114300" distR="114300" simplePos="0" relativeHeight="251663360" behindDoc="0" locked="0" layoutInCell="1" allowOverlap="1">
                      <wp:simplePos x="0" y="0"/>
                      <wp:positionH relativeFrom="column">
                        <wp:posOffset>-33655</wp:posOffset>
                      </wp:positionH>
                      <wp:positionV relativeFrom="paragraph">
                        <wp:posOffset>32385</wp:posOffset>
                      </wp:positionV>
                      <wp:extent cx="1654810" cy="321310"/>
                      <wp:effectExtent l="635" t="4445" r="1905" b="17145"/>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1654810" cy="32131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65pt;margin-top:2.55pt;height:25.3pt;width:130.3pt;z-index:251663360;mso-width-relative:page;mso-height-relative:page;" filled="f" stroked="t" coordsize="21600,21600" o:gfxdata="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gI&#10;tXLUAAAABwEAAA8AAAAAAAAAAQAgAAAAIgAAAGRycy9kb3ducmV2LnhtbFBLAQIUABQAAAAIAIdO&#10;4kCIMcpE7gEAAL8DAAAOAAAAAAAAAAEAIAAAACMBAABkcnMvZTJvRG9jLnhtbFBLBQYAAAAABgAG&#10;AFkBAACDBQAAAAA=&#10;">
                      <v:fill on="f" focussize="0,0"/>
                      <v:stroke color="#000000" joinstyle="round"/>
                      <v:imagedata o:title=""/>
                      <o:lock v:ext="edit" aspectratio="f"/>
                    </v:line>
                  </w:pict>
                </mc:Fallback>
              </mc:AlternateContent>
            </w:r>
            <w:r>
              <w:rPr>
                <w:rFonts w:hint="eastAsia" w:ascii="宋体" w:hAnsi="宋体" w:cs="宋体"/>
                <w:bCs/>
                <w:szCs w:val="21"/>
                <w:highlight w:val="none"/>
              </w:rPr>
              <w:t>费率</w:t>
            </w:r>
          </w:p>
          <w:p>
            <w:pPr>
              <w:shd w:val="clear"/>
              <w:snapToGrid w:val="0"/>
              <w:rPr>
                <w:rFonts w:ascii="宋体" w:hAnsi="宋体" w:cs="宋体"/>
                <w:szCs w:val="21"/>
                <w:highlight w:val="none"/>
              </w:rPr>
            </w:pPr>
            <w:r>
              <w:rPr>
                <w:rFonts w:hint="eastAsia" w:ascii="宋体" w:hAnsi="宋体" w:cs="宋体"/>
                <w:bCs/>
                <w:szCs w:val="21"/>
                <w:highlight w:val="none"/>
              </w:rPr>
              <w:t>中标金额</w:t>
            </w:r>
          </w:p>
        </w:tc>
        <w:tc>
          <w:tcPr>
            <w:tcW w:w="3260" w:type="dxa"/>
            <w:vAlign w:val="center"/>
          </w:tcPr>
          <w:p>
            <w:pPr>
              <w:shd w:val="clear"/>
              <w:snapToGrid w:val="0"/>
              <w:jc w:val="center"/>
              <w:rPr>
                <w:rFonts w:ascii="宋体" w:hAnsi="宋体" w:cs="宋体"/>
                <w:szCs w:val="21"/>
                <w:highlight w:val="none"/>
              </w:rPr>
            </w:pPr>
            <w:r>
              <w:rPr>
                <w:rFonts w:hint="eastAsia" w:ascii="宋体" w:hAnsi="宋体" w:cs="宋体"/>
                <w:bCs/>
                <w:szCs w:val="21"/>
                <w:highlight w:val="none"/>
              </w:rPr>
              <w:t>服务招标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2802" w:type="dxa"/>
            <w:vAlign w:val="center"/>
          </w:tcPr>
          <w:p>
            <w:pPr>
              <w:shd w:val="clear"/>
              <w:jc w:val="center"/>
              <w:rPr>
                <w:rFonts w:ascii="宋体" w:hAnsi="宋体" w:cs="宋体"/>
                <w:bCs/>
                <w:szCs w:val="21"/>
                <w:highlight w:val="none"/>
              </w:rPr>
            </w:pPr>
            <w:r>
              <w:rPr>
                <w:rFonts w:hint="eastAsia" w:ascii="宋体" w:hAnsi="宋体" w:cs="宋体"/>
                <w:szCs w:val="21"/>
                <w:highlight w:val="none"/>
              </w:rPr>
              <w:t>100万元以下</w:t>
            </w:r>
          </w:p>
        </w:tc>
        <w:tc>
          <w:tcPr>
            <w:tcW w:w="3260" w:type="dxa"/>
            <w:vAlign w:val="center"/>
          </w:tcPr>
          <w:p>
            <w:pPr>
              <w:shd w:val="clear"/>
              <w:ind w:firstLine="210" w:firstLineChars="100"/>
              <w:jc w:val="center"/>
              <w:rPr>
                <w:rFonts w:ascii="宋体" w:hAnsi="宋体" w:cs="宋体"/>
                <w:szCs w:val="21"/>
                <w:highlight w:val="none"/>
              </w:rPr>
            </w:pPr>
            <w:r>
              <w:rPr>
                <w:rFonts w:hint="eastAsia" w:ascii="宋体" w:hAnsi="宋体" w:cs="宋体"/>
                <w:szCs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2802" w:type="dxa"/>
            <w:vAlign w:val="center"/>
          </w:tcPr>
          <w:p>
            <w:pPr>
              <w:shd w:val="clear"/>
              <w:jc w:val="center"/>
              <w:rPr>
                <w:rFonts w:ascii="宋体" w:hAnsi="宋体" w:cs="宋体"/>
                <w:szCs w:val="21"/>
                <w:highlight w:val="none"/>
              </w:rPr>
            </w:pPr>
            <w:r>
              <w:rPr>
                <w:rFonts w:hint="eastAsia" w:ascii="宋体" w:hAnsi="宋体" w:cs="宋体"/>
                <w:szCs w:val="21"/>
                <w:highlight w:val="none"/>
              </w:rPr>
              <w:t>100～500万元</w:t>
            </w:r>
          </w:p>
        </w:tc>
        <w:tc>
          <w:tcPr>
            <w:tcW w:w="3260" w:type="dxa"/>
            <w:vAlign w:val="center"/>
          </w:tcPr>
          <w:p>
            <w:pPr>
              <w:shd w:val="clear"/>
              <w:ind w:firstLine="210" w:firstLineChars="100"/>
              <w:jc w:val="center"/>
              <w:rPr>
                <w:rFonts w:ascii="宋体" w:hAnsi="宋体" w:cs="宋体"/>
                <w:szCs w:val="21"/>
                <w:highlight w:val="none"/>
              </w:rPr>
            </w:pPr>
            <w:r>
              <w:rPr>
                <w:rFonts w:hint="eastAsia" w:ascii="宋体" w:hAnsi="宋体" w:cs="宋体"/>
                <w:szCs w:val="21"/>
                <w:highlight w:val="none"/>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2802" w:type="dxa"/>
            <w:vAlign w:val="center"/>
          </w:tcPr>
          <w:p>
            <w:pPr>
              <w:shd w:val="clear"/>
              <w:jc w:val="center"/>
              <w:rPr>
                <w:rFonts w:ascii="宋体" w:hAnsi="宋体" w:cs="宋体"/>
                <w:szCs w:val="21"/>
                <w:highlight w:val="none"/>
              </w:rPr>
            </w:pPr>
            <w:r>
              <w:rPr>
                <w:rFonts w:hint="eastAsia" w:ascii="宋体" w:hAnsi="宋体" w:cs="宋体"/>
                <w:szCs w:val="21"/>
                <w:highlight w:val="none"/>
              </w:rPr>
              <w:t>500～1000万元</w:t>
            </w:r>
          </w:p>
        </w:tc>
        <w:tc>
          <w:tcPr>
            <w:tcW w:w="3260" w:type="dxa"/>
            <w:vAlign w:val="center"/>
          </w:tcPr>
          <w:p>
            <w:pPr>
              <w:shd w:val="clear"/>
              <w:ind w:firstLine="210" w:firstLineChars="100"/>
              <w:jc w:val="center"/>
              <w:rPr>
                <w:rFonts w:ascii="宋体" w:hAnsi="宋体" w:cs="宋体"/>
                <w:szCs w:val="21"/>
                <w:highlight w:val="none"/>
              </w:rPr>
            </w:pPr>
            <w:r>
              <w:rPr>
                <w:rFonts w:hint="eastAsia" w:ascii="宋体" w:hAnsi="宋体" w:cs="宋体"/>
                <w:szCs w:val="21"/>
                <w:highlight w:val="none"/>
              </w:rPr>
              <w:t>0.45%</w:t>
            </w:r>
          </w:p>
        </w:tc>
      </w:tr>
    </w:tbl>
    <w:p>
      <w:pPr>
        <w:shd w:val="clear"/>
        <w:snapToGrid w:val="0"/>
        <w:spacing w:line="360" w:lineRule="auto"/>
        <w:rPr>
          <w:rFonts w:ascii="宋体" w:hAnsi="宋体" w:cs="宋体"/>
          <w:szCs w:val="21"/>
          <w:highlight w:val="none"/>
        </w:rPr>
      </w:pPr>
      <w:r>
        <w:rPr>
          <w:rFonts w:hint="eastAsia" w:ascii="宋体" w:hAnsi="宋体" w:cs="宋体"/>
          <w:szCs w:val="21"/>
          <w:highlight w:val="none"/>
        </w:rPr>
        <w:t>例如：某服务招标中标金额为850万元，计算招标代理服务收费额如下：</w:t>
      </w:r>
    </w:p>
    <w:p>
      <w:pPr>
        <w:shd w:val="clear"/>
        <w:snapToGrid w:val="0"/>
        <w:spacing w:line="360" w:lineRule="auto"/>
        <w:ind w:left="315" w:hanging="315" w:hangingChars="150"/>
        <w:jc w:val="center"/>
        <w:rPr>
          <w:rFonts w:ascii="宋体" w:hAnsi="宋体" w:cs="宋体"/>
          <w:szCs w:val="21"/>
          <w:highlight w:val="none"/>
        </w:rPr>
      </w:pPr>
      <w:r>
        <w:rPr>
          <w:rFonts w:hint="eastAsia" w:ascii="宋体" w:hAnsi="宋体" w:cs="宋体"/>
          <w:szCs w:val="21"/>
          <w:highlight w:val="none"/>
        </w:rPr>
        <w:t>100万元×1.5%=1.5万元</w:t>
      </w:r>
    </w:p>
    <w:p>
      <w:pPr>
        <w:shd w:val="clear"/>
        <w:snapToGrid w:val="0"/>
        <w:spacing w:line="360" w:lineRule="auto"/>
        <w:ind w:left="315" w:hanging="315" w:hangingChars="150"/>
        <w:jc w:val="center"/>
        <w:rPr>
          <w:rFonts w:ascii="宋体" w:hAnsi="宋体" w:cs="宋体"/>
          <w:szCs w:val="21"/>
          <w:highlight w:val="none"/>
        </w:rPr>
      </w:pPr>
      <w:r>
        <w:rPr>
          <w:rFonts w:hint="eastAsia" w:ascii="宋体" w:hAnsi="宋体" w:cs="宋体"/>
          <w:szCs w:val="21"/>
          <w:highlight w:val="none"/>
        </w:rPr>
        <w:t>（500-100）万元×0.8%=3.2万元</w:t>
      </w:r>
    </w:p>
    <w:p>
      <w:pPr>
        <w:shd w:val="clear"/>
        <w:snapToGrid w:val="0"/>
        <w:spacing w:line="360" w:lineRule="auto"/>
        <w:ind w:left="315" w:hanging="315" w:hangingChars="150"/>
        <w:jc w:val="center"/>
        <w:rPr>
          <w:rFonts w:ascii="宋体" w:hAnsi="宋体" w:cs="宋体"/>
          <w:szCs w:val="21"/>
          <w:highlight w:val="none"/>
        </w:rPr>
      </w:pPr>
      <w:r>
        <w:rPr>
          <w:rFonts w:hint="eastAsia" w:ascii="宋体" w:hAnsi="宋体" w:cs="宋体"/>
          <w:szCs w:val="21"/>
          <w:highlight w:val="none"/>
        </w:rPr>
        <w:t>（850-500）万元×0.45%=1.575万元</w:t>
      </w:r>
    </w:p>
    <w:p>
      <w:pPr>
        <w:shd w:val="clear"/>
        <w:snapToGrid w:val="0"/>
        <w:spacing w:line="360" w:lineRule="auto"/>
        <w:ind w:left="332" w:leftChars="158" w:firstLine="2520" w:firstLineChars="1200"/>
        <w:rPr>
          <w:rFonts w:ascii="宋体" w:hAnsi="宋体" w:cs="宋体"/>
          <w:szCs w:val="21"/>
          <w:highlight w:val="none"/>
        </w:rPr>
      </w:pPr>
      <w:r>
        <w:rPr>
          <w:rFonts w:hint="eastAsia" w:ascii="宋体" w:hAnsi="宋体" w:cs="宋体"/>
          <w:szCs w:val="21"/>
          <w:highlight w:val="none"/>
        </w:rPr>
        <w:t>合计收费=1.5+3.2+1.575=6.275（万元）</w:t>
      </w:r>
    </w:p>
    <w:p>
      <w:pPr>
        <w:numPr>
          <w:ilvl w:val="1"/>
          <w:numId w:val="90"/>
        </w:numPr>
        <w:shd w:val="clear"/>
        <w:snapToGrid w:val="0"/>
        <w:spacing w:line="360" w:lineRule="auto"/>
        <w:rPr>
          <w:rFonts w:ascii="宋体" w:hAnsi="宋体" w:cs="宋体"/>
          <w:szCs w:val="21"/>
          <w:highlight w:val="none"/>
        </w:rPr>
      </w:pPr>
      <w:r>
        <w:rPr>
          <w:rFonts w:hint="eastAsia" w:ascii="宋体" w:hAnsi="宋体" w:cs="宋体"/>
          <w:szCs w:val="21"/>
          <w:highlight w:val="none"/>
        </w:rPr>
        <w:t>经依法取消中标资格的，招标代理服务费不予退还。</w:t>
      </w:r>
    </w:p>
    <w:p>
      <w:pPr>
        <w:pStyle w:val="47"/>
        <w:shd w:val="clear"/>
        <w:spacing w:line="360" w:lineRule="auto"/>
        <w:rPr>
          <w:rFonts w:ascii="宋体" w:hAnsi="宋体" w:cs="宋体"/>
          <w:szCs w:val="21"/>
          <w:highlight w:val="none"/>
        </w:rPr>
      </w:pPr>
    </w:p>
    <w:p>
      <w:pPr>
        <w:shd w:val="clear"/>
        <w:spacing w:line="360" w:lineRule="auto"/>
        <w:rPr>
          <w:rFonts w:ascii="宋体" w:hAnsi="宋体" w:cs="宋体"/>
          <w:szCs w:val="21"/>
          <w:highlight w:val="none"/>
        </w:rPr>
      </w:pPr>
    </w:p>
    <w:bookmarkEnd w:id="13"/>
    <w:p>
      <w:pPr>
        <w:shd w:val="clear"/>
        <w:snapToGrid w:val="0"/>
        <w:spacing w:line="360" w:lineRule="auto"/>
        <w:jc w:val="center"/>
        <w:outlineLvl w:val="0"/>
        <w:rPr>
          <w:rFonts w:ascii="宋体" w:hAnsi="宋体" w:cs="宋体"/>
          <w:b/>
          <w:bCs/>
          <w:szCs w:val="21"/>
          <w:highlight w:val="none"/>
        </w:rPr>
      </w:pPr>
      <w:r>
        <w:rPr>
          <w:rFonts w:hint="eastAsia" w:ascii="宋体" w:hAnsi="宋体" w:cs="宋体"/>
          <w:b/>
          <w:bCs/>
          <w:szCs w:val="21"/>
          <w:highlight w:val="none"/>
        </w:rPr>
        <w:br w:type="page"/>
      </w:r>
      <w:bookmarkStart w:id="97" w:name="_Toc355879708"/>
    </w:p>
    <w:p>
      <w:pPr>
        <w:shd w:val="clear"/>
        <w:snapToGrid w:val="0"/>
        <w:spacing w:line="360" w:lineRule="auto"/>
        <w:jc w:val="center"/>
        <w:outlineLvl w:val="0"/>
        <w:rPr>
          <w:rFonts w:ascii="宋体" w:hAnsi="宋体" w:cs="宋体"/>
          <w:b/>
          <w:bCs/>
          <w:szCs w:val="21"/>
          <w:highlight w:val="none"/>
        </w:rPr>
      </w:pPr>
    </w:p>
    <w:p>
      <w:pPr>
        <w:shd w:val="clear"/>
        <w:snapToGrid w:val="0"/>
        <w:spacing w:line="360" w:lineRule="auto"/>
        <w:jc w:val="center"/>
        <w:outlineLvl w:val="0"/>
        <w:rPr>
          <w:rFonts w:ascii="宋体" w:hAnsi="宋体" w:cs="宋体"/>
          <w:b/>
          <w:bCs/>
          <w:szCs w:val="21"/>
          <w:highlight w:val="none"/>
        </w:rPr>
      </w:pPr>
    </w:p>
    <w:p>
      <w:pPr>
        <w:shd w:val="clear"/>
        <w:snapToGrid w:val="0"/>
        <w:spacing w:line="360" w:lineRule="auto"/>
        <w:jc w:val="center"/>
        <w:outlineLvl w:val="0"/>
        <w:rPr>
          <w:rFonts w:ascii="宋体" w:hAnsi="宋体" w:cs="宋体"/>
          <w:b/>
          <w:bCs/>
          <w:szCs w:val="21"/>
          <w:highlight w:val="none"/>
        </w:rPr>
      </w:pPr>
    </w:p>
    <w:p>
      <w:pPr>
        <w:shd w:val="clear"/>
        <w:snapToGrid w:val="0"/>
        <w:spacing w:line="360" w:lineRule="auto"/>
        <w:jc w:val="center"/>
        <w:outlineLvl w:val="0"/>
        <w:rPr>
          <w:rFonts w:ascii="宋体" w:hAnsi="宋体" w:cs="宋体"/>
          <w:b/>
          <w:bCs/>
          <w:szCs w:val="21"/>
          <w:highlight w:val="none"/>
        </w:rPr>
      </w:pPr>
    </w:p>
    <w:p>
      <w:pPr>
        <w:shd w:val="clear"/>
        <w:snapToGrid w:val="0"/>
        <w:spacing w:line="360" w:lineRule="auto"/>
        <w:jc w:val="center"/>
        <w:outlineLvl w:val="0"/>
        <w:rPr>
          <w:rFonts w:ascii="宋体" w:hAnsi="宋体" w:cs="宋体"/>
          <w:b/>
          <w:bCs/>
          <w:szCs w:val="21"/>
          <w:highlight w:val="none"/>
        </w:rPr>
      </w:pPr>
    </w:p>
    <w:p>
      <w:pPr>
        <w:shd w:val="clear"/>
        <w:snapToGrid w:val="0"/>
        <w:spacing w:line="360" w:lineRule="auto"/>
        <w:jc w:val="center"/>
        <w:outlineLvl w:val="0"/>
        <w:rPr>
          <w:rFonts w:ascii="宋体" w:hAnsi="宋体" w:cs="宋体"/>
          <w:b/>
          <w:bCs/>
          <w:szCs w:val="21"/>
          <w:highlight w:val="none"/>
        </w:rPr>
      </w:pPr>
    </w:p>
    <w:p>
      <w:pPr>
        <w:shd w:val="clear"/>
        <w:snapToGrid w:val="0"/>
        <w:spacing w:line="360" w:lineRule="auto"/>
        <w:jc w:val="center"/>
        <w:outlineLvl w:val="0"/>
        <w:rPr>
          <w:rFonts w:ascii="宋体" w:hAnsi="宋体" w:cs="宋体"/>
          <w:b/>
          <w:bCs/>
          <w:szCs w:val="21"/>
          <w:highlight w:val="none"/>
        </w:rPr>
      </w:pPr>
    </w:p>
    <w:p>
      <w:pPr>
        <w:shd w:val="clear"/>
        <w:snapToGrid w:val="0"/>
        <w:spacing w:line="360" w:lineRule="auto"/>
        <w:jc w:val="center"/>
        <w:outlineLvl w:val="0"/>
        <w:rPr>
          <w:rFonts w:ascii="宋体" w:hAnsi="宋体" w:cs="宋体"/>
          <w:b/>
          <w:bCs/>
          <w:szCs w:val="21"/>
          <w:highlight w:val="none"/>
        </w:rPr>
      </w:pPr>
    </w:p>
    <w:p>
      <w:pPr>
        <w:shd w:val="clear"/>
        <w:snapToGrid w:val="0"/>
        <w:spacing w:line="360" w:lineRule="auto"/>
        <w:jc w:val="center"/>
        <w:outlineLvl w:val="0"/>
        <w:rPr>
          <w:rFonts w:ascii="Times New Roman" w:hAnsi="Times New Roman"/>
          <w:b/>
          <w:bCs/>
          <w:sz w:val="44"/>
          <w:szCs w:val="44"/>
          <w:highlight w:val="none"/>
        </w:rPr>
      </w:pPr>
      <w:bookmarkStart w:id="98" w:name="_Toc29705"/>
      <w:r>
        <w:rPr>
          <w:rFonts w:hint="eastAsia" w:ascii="Times New Roman" w:hAnsi="Times New Roman"/>
          <w:b/>
          <w:bCs/>
          <w:sz w:val="44"/>
          <w:szCs w:val="44"/>
          <w:highlight w:val="none"/>
        </w:rPr>
        <w:t>第六章</w:t>
      </w:r>
      <w:bookmarkEnd w:id="97"/>
      <w:bookmarkEnd w:id="98"/>
    </w:p>
    <w:p>
      <w:pPr>
        <w:shd w:val="clear"/>
        <w:snapToGrid w:val="0"/>
        <w:spacing w:line="360" w:lineRule="auto"/>
        <w:jc w:val="center"/>
        <w:outlineLvl w:val="0"/>
        <w:rPr>
          <w:rFonts w:ascii="Times New Roman" w:hAnsi="Times New Roman"/>
          <w:b/>
          <w:bCs/>
          <w:sz w:val="44"/>
          <w:szCs w:val="44"/>
          <w:highlight w:val="none"/>
        </w:rPr>
      </w:pPr>
      <w:bookmarkStart w:id="99" w:name="_Toc7115"/>
      <w:bookmarkStart w:id="100" w:name="_Toc355879709"/>
      <w:bookmarkStart w:id="101" w:name="_Toc2130"/>
      <w:r>
        <w:rPr>
          <w:rFonts w:hint="eastAsia" w:ascii="Times New Roman" w:hAnsi="Times New Roman"/>
          <w:b/>
          <w:bCs/>
          <w:sz w:val="44"/>
          <w:szCs w:val="44"/>
          <w:highlight w:val="none"/>
        </w:rPr>
        <w:t>合同条款</w:t>
      </w:r>
      <w:bookmarkEnd w:id="99"/>
      <w:bookmarkEnd w:id="100"/>
      <w:bookmarkEnd w:id="101"/>
    </w:p>
    <w:p>
      <w:pPr>
        <w:shd w:val="clear"/>
        <w:snapToGrid w:val="0"/>
        <w:spacing w:line="360" w:lineRule="auto"/>
        <w:jc w:val="center"/>
        <w:outlineLvl w:val="0"/>
        <w:rPr>
          <w:rFonts w:ascii="Times New Roman" w:hAnsi="Times New Roman"/>
          <w:b/>
          <w:bCs/>
          <w:sz w:val="28"/>
          <w:szCs w:val="28"/>
          <w:highlight w:val="none"/>
        </w:rPr>
      </w:pPr>
    </w:p>
    <w:p>
      <w:pPr>
        <w:shd w:val="clear"/>
        <w:snapToGrid w:val="0"/>
        <w:spacing w:line="360" w:lineRule="auto"/>
        <w:jc w:val="center"/>
        <w:outlineLvl w:val="0"/>
        <w:rPr>
          <w:rFonts w:ascii="Times New Roman" w:hAnsi="Times New Roman"/>
          <w:b/>
          <w:bCs/>
          <w:sz w:val="28"/>
          <w:szCs w:val="28"/>
          <w:highlight w:val="none"/>
        </w:rPr>
      </w:pPr>
    </w:p>
    <w:p>
      <w:pPr>
        <w:shd w:val="clear"/>
        <w:snapToGrid w:val="0"/>
        <w:spacing w:line="360" w:lineRule="auto"/>
        <w:jc w:val="center"/>
        <w:outlineLvl w:val="0"/>
        <w:rPr>
          <w:rFonts w:ascii="宋体" w:hAnsi="宋体" w:cs="宋体"/>
          <w:b/>
          <w:bCs/>
          <w:szCs w:val="21"/>
          <w:highlight w:val="none"/>
        </w:rPr>
      </w:pPr>
    </w:p>
    <w:p>
      <w:pPr>
        <w:shd w:val="clear"/>
        <w:snapToGrid w:val="0"/>
        <w:spacing w:line="360" w:lineRule="auto"/>
        <w:jc w:val="center"/>
        <w:outlineLvl w:val="0"/>
        <w:rPr>
          <w:rFonts w:ascii="宋体" w:hAnsi="宋体" w:cs="宋体"/>
          <w:b/>
          <w:bCs/>
          <w:szCs w:val="21"/>
          <w:highlight w:val="none"/>
        </w:rPr>
      </w:pPr>
    </w:p>
    <w:p>
      <w:pPr>
        <w:shd w:val="clear"/>
        <w:snapToGrid w:val="0"/>
        <w:spacing w:line="360" w:lineRule="auto"/>
        <w:jc w:val="center"/>
        <w:outlineLvl w:val="0"/>
        <w:rPr>
          <w:rFonts w:ascii="宋体" w:hAnsi="宋体" w:cs="宋体"/>
          <w:b/>
          <w:bCs/>
          <w:szCs w:val="21"/>
          <w:highlight w:val="none"/>
        </w:rPr>
      </w:pPr>
    </w:p>
    <w:p>
      <w:pPr>
        <w:shd w:val="clear"/>
        <w:rPr>
          <w:rFonts w:ascii="Times New Roman" w:hAnsi="Times New Roman"/>
          <w:b/>
          <w:sz w:val="24"/>
          <w:highlight w:val="none"/>
        </w:rPr>
      </w:pPr>
      <w:r>
        <w:rPr>
          <w:rFonts w:hint="eastAsia" w:ascii="宋体" w:hAnsi="宋体" w:cs="宋体"/>
          <w:szCs w:val="21"/>
          <w:highlight w:val="none"/>
        </w:rPr>
        <w:t xml:space="preserve">       </w:t>
      </w:r>
      <w:r>
        <w:rPr>
          <w:rFonts w:hint="eastAsia" w:ascii="Times New Roman" w:hAnsi="Times New Roman"/>
          <w:b/>
          <w:sz w:val="24"/>
          <w:highlight w:val="none"/>
        </w:rPr>
        <w:t>注：本合同仅为合同的参考文本，合同签订双方可根据项目的具体要求进行修订。</w:t>
      </w:r>
    </w:p>
    <w:p>
      <w:pPr>
        <w:pStyle w:val="68"/>
        <w:shd w:val="clear"/>
        <w:tabs>
          <w:tab w:val="left" w:pos="1440"/>
        </w:tabs>
        <w:spacing w:line="480" w:lineRule="auto"/>
        <w:jc w:val="center"/>
        <w:rPr>
          <w:rFonts w:ascii="Times New Roman" w:hAnsi="Times New Roman"/>
          <w:b/>
          <w:sz w:val="24"/>
          <w:highlight w:val="none"/>
          <w:lang w:eastAsia="zh-TW"/>
        </w:rPr>
      </w:pPr>
      <w:r>
        <w:rPr>
          <w:rFonts w:hint="eastAsia" w:ascii="Times New Roman" w:hAnsi="Times New Roman"/>
          <w:b/>
          <w:sz w:val="24"/>
          <w:highlight w:val="none"/>
        </w:rPr>
        <w:t xml:space="preserve"> </w:t>
      </w:r>
      <w:r>
        <w:rPr>
          <w:rFonts w:hint="eastAsia" w:ascii="Times New Roman" w:hAnsi="Times New Roman"/>
          <w:b/>
          <w:sz w:val="24"/>
          <w:highlight w:val="none"/>
          <w:lang w:eastAsia="zh-TW"/>
        </w:rPr>
        <w:br w:type="page"/>
      </w:r>
    </w:p>
    <w:p>
      <w:pPr>
        <w:pStyle w:val="68"/>
        <w:shd w:val="clear"/>
        <w:tabs>
          <w:tab w:val="left" w:pos="1440"/>
        </w:tabs>
        <w:spacing w:line="480" w:lineRule="auto"/>
        <w:jc w:val="center"/>
        <w:rPr>
          <w:rFonts w:ascii="Times New Roman" w:hAnsi="Times New Roman"/>
          <w:b/>
          <w:sz w:val="24"/>
          <w:highlight w:val="none"/>
          <w:lang w:eastAsia="zh-TW"/>
        </w:rPr>
      </w:pPr>
    </w:p>
    <w:p>
      <w:pPr>
        <w:pStyle w:val="68"/>
        <w:shd w:val="clear"/>
        <w:tabs>
          <w:tab w:val="left" w:pos="1440"/>
        </w:tabs>
        <w:spacing w:line="480" w:lineRule="auto"/>
        <w:jc w:val="center"/>
        <w:rPr>
          <w:rFonts w:ascii="Times New Roman" w:hAnsi="Times New Roman"/>
          <w:b/>
          <w:sz w:val="24"/>
          <w:highlight w:val="none"/>
          <w:lang w:eastAsia="zh-TW"/>
        </w:rPr>
      </w:pPr>
    </w:p>
    <w:p>
      <w:pPr>
        <w:pStyle w:val="68"/>
        <w:shd w:val="clear"/>
        <w:tabs>
          <w:tab w:val="left" w:pos="1440"/>
          <w:tab w:val="center" w:pos="4592"/>
          <w:tab w:val="left" w:pos="6748"/>
        </w:tabs>
        <w:spacing w:line="360" w:lineRule="auto"/>
        <w:jc w:val="center"/>
        <w:rPr>
          <w:rFonts w:ascii="宋体" w:hAnsi="宋体"/>
          <w:color w:val="000000"/>
          <w:sz w:val="68"/>
          <w:highlight w:val="none"/>
        </w:rPr>
      </w:pPr>
    </w:p>
    <w:p>
      <w:pPr>
        <w:pStyle w:val="68"/>
        <w:shd w:val="clear"/>
        <w:tabs>
          <w:tab w:val="left" w:pos="1440"/>
          <w:tab w:val="center" w:pos="4592"/>
          <w:tab w:val="left" w:pos="6748"/>
        </w:tabs>
        <w:spacing w:line="360" w:lineRule="auto"/>
        <w:jc w:val="center"/>
        <w:rPr>
          <w:rFonts w:ascii="宋体" w:hAnsi="宋体"/>
          <w:b/>
          <w:bCs/>
          <w:sz w:val="68"/>
          <w:highlight w:val="none"/>
        </w:rPr>
      </w:pPr>
      <w:r>
        <w:rPr>
          <w:rFonts w:hint="eastAsia" w:ascii="宋体" w:hAnsi="宋体"/>
          <w:b/>
          <w:bCs/>
          <w:color w:val="000000"/>
          <w:sz w:val="68"/>
          <w:highlight w:val="none"/>
        </w:rPr>
        <w:t>合 同 书</w:t>
      </w:r>
    </w:p>
    <w:p>
      <w:pPr>
        <w:pStyle w:val="68"/>
        <w:shd w:val="clear"/>
        <w:spacing w:line="360" w:lineRule="auto"/>
        <w:jc w:val="center"/>
        <w:rPr>
          <w:b/>
          <w:bCs/>
          <w:color w:val="000000"/>
          <w:highlight w:val="none"/>
        </w:rPr>
      </w:pPr>
    </w:p>
    <w:p>
      <w:pPr>
        <w:pStyle w:val="68"/>
        <w:shd w:val="clear"/>
        <w:spacing w:line="360" w:lineRule="auto"/>
        <w:jc w:val="center"/>
        <w:rPr>
          <w:b/>
          <w:bCs/>
          <w:color w:val="000000"/>
          <w:highlight w:val="none"/>
        </w:rPr>
      </w:pPr>
    </w:p>
    <w:p>
      <w:pPr>
        <w:pStyle w:val="68"/>
        <w:shd w:val="clear"/>
        <w:spacing w:line="360" w:lineRule="auto"/>
        <w:jc w:val="center"/>
        <w:rPr>
          <w:b/>
          <w:bCs/>
          <w:color w:val="000000"/>
          <w:highlight w:val="none"/>
        </w:rPr>
      </w:pPr>
    </w:p>
    <w:p>
      <w:pPr>
        <w:pStyle w:val="68"/>
        <w:shd w:val="clear"/>
        <w:spacing w:line="360" w:lineRule="auto"/>
        <w:jc w:val="center"/>
        <w:rPr>
          <w:b/>
          <w:bCs/>
          <w:color w:val="000000"/>
          <w:sz w:val="22"/>
          <w:szCs w:val="22"/>
          <w:highlight w:val="none"/>
        </w:rPr>
      </w:pPr>
    </w:p>
    <w:p>
      <w:pPr>
        <w:pStyle w:val="68"/>
        <w:shd w:val="clear"/>
        <w:tabs>
          <w:tab w:val="left" w:pos="1377"/>
        </w:tabs>
        <w:spacing w:line="480" w:lineRule="auto"/>
        <w:ind w:firstLine="1681" w:firstLineChars="700"/>
        <w:rPr>
          <w:rFonts w:asciiTheme="minorEastAsia" w:hAnsiTheme="minorEastAsia" w:eastAsiaTheme="minorEastAsia" w:cstheme="minorEastAsia"/>
          <w:b/>
          <w:bCs/>
          <w:color w:val="000000"/>
          <w:sz w:val="24"/>
          <w:highlight w:val="none"/>
        </w:rPr>
      </w:pPr>
      <w:r>
        <w:rPr>
          <w:rFonts w:hint="eastAsia" w:asciiTheme="minorEastAsia" w:hAnsiTheme="minorEastAsia" w:eastAsiaTheme="minorEastAsia" w:cstheme="minorEastAsia"/>
          <w:b/>
          <w:bCs/>
          <w:color w:val="000000"/>
          <w:sz w:val="24"/>
          <w:highlight w:val="none"/>
        </w:rPr>
        <w:t>项目编号：BDGZ2023024</w:t>
      </w:r>
    </w:p>
    <w:p>
      <w:pPr>
        <w:pStyle w:val="68"/>
        <w:shd w:val="clear"/>
        <w:tabs>
          <w:tab w:val="left" w:pos="1377"/>
        </w:tabs>
        <w:spacing w:line="480" w:lineRule="auto"/>
        <w:ind w:firstLine="1681" w:firstLineChars="7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color w:val="000000"/>
          <w:sz w:val="24"/>
          <w:highlight w:val="none"/>
        </w:rPr>
        <w:t>项目名称：千灯湖创投特色小镇核心区物业管理服务</w:t>
      </w:r>
    </w:p>
    <w:p>
      <w:pPr>
        <w:pStyle w:val="68"/>
        <w:shd w:val="clear"/>
        <w:spacing w:line="360" w:lineRule="auto"/>
        <w:jc w:val="center"/>
        <w:rPr>
          <w:highlight w:val="none"/>
        </w:rPr>
      </w:pPr>
    </w:p>
    <w:p>
      <w:pPr>
        <w:pStyle w:val="68"/>
        <w:shd w:val="clear"/>
        <w:spacing w:line="360" w:lineRule="auto"/>
        <w:jc w:val="center"/>
        <w:rPr>
          <w:highlight w:val="none"/>
        </w:rPr>
      </w:pPr>
    </w:p>
    <w:p>
      <w:pPr>
        <w:pStyle w:val="68"/>
        <w:shd w:val="clear"/>
        <w:spacing w:line="360" w:lineRule="auto"/>
        <w:jc w:val="center"/>
        <w:rPr>
          <w:highlight w:val="none"/>
        </w:rPr>
      </w:pPr>
    </w:p>
    <w:p>
      <w:pPr>
        <w:pStyle w:val="68"/>
        <w:shd w:val="clear"/>
        <w:spacing w:line="360" w:lineRule="auto"/>
        <w:jc w:val="center"/>
        <w:rPr>
          <w:highlight w:val="none"/>
        </w:rPr>
      </w:pPr>
    </w:p>
    <w:tbl>
      <w:tblPr>
        <w:tblStyle w:val="22"/>
        <w:tblW w:w="6679" w:type="dxa"/>
        <w:jc w:val="center"/>
        <w:tblLayout w:type="fixed"/>
        <w:tblCellMar>
          <w:top w:w="0" w:type="dxa"/>
          <w:left w:w="108" w:type="dxa"/>
          <w:bottom w:w="0" w:type="dxa"/>
          <w:right w:w="108" w:type="dxa"/>
        </w:tblCellMar>
      </w:tblPr>
      <w:tblGrid>
        <w:gridCol w:w="1836"/>
        <w:gridCol w:w="4843"/>
      </w:tblGrid>
      <w:tr>
        <w:tblPrEx>
          <w:tblCellMar>
            <w:top w:w="0" w:type="dxa"/>
            <w:left w:w="108" w:type="dxa"/>
            <w:bottom w:w="0" w:type="dxa"/>
            <w:right w:w="108" w:type="dxa"/>
          </w:tblCellMar>
        </w:tblPrEx>
        <w:trPr>
          <w:trHeight w:val="903" w:hRule="atLeast"/>
          <w:jc w:val="center"/>
        </w:trPr>
        <w:tc>
          <w:tcPr>
            <w:tcW w:w="1836" w:type="dxa"/>
            <w:vAlign w:val="center"/>
          </w:tcPr>
          <w:p>
            <w:pPr>
              <w:pStyle w:val="68"/>
              <w:shd w:val="clear"/>
              <w:jc w:val="center"/>
              <w:rPr>
                <w:rFonts w:ascii="宋体" w:hAnsi="宋体" w:cs="宋体"/>
                <w:b/>
                <w:bCs/>
                <w:sz w:val="24"/>
                <w:highlight w:val="none"/>
              </w:rPr>
            </w:pPr>
            <w:r>
              <w:rPr>
                <w:rFonts w:hint="eastAsia" w:ascii="宋体" w:hAnsi="宋体" w:cs="宋体"/>
                <w:b/>
                <w:bCs/>
                <w:color w:val="000000"/>
                <w:sz w:val="24"/>
                <w:highlight w:val="none"/>
              </w:rPr>
              <w:t>甲    方：</w:t>
            </w:r>
          </w:p>
        </w:tc>
        <w:tc>
          <w:tcPr>
            <w:tcW w:w="4843" w:type="dxa"/>
            <w:vAlign w:val="center"/>
          </w:tcPr>
          <w:p>
            <w:pPr>
              <w:pStyle w:val="68"/>
              <w:shd w:val="clear"/>
              <w:jc w:val="left"/>
              <w:rPr>
                <w:rFonts w:ascii="宋体" w:hAnsi="宋体" w:cs="宋体"/>
                <w:b/>
                <w:bCs/>
                <w:sz w:val="24"/>
                <w:highlight w:val="none"/>
                <w:u w:val="single"/>
              </w:rPr>
            </w:pPr>
            <w:r>
              <w:rPr>
                <w:rFonts w:hint="eastAsia" w:ascii="宋体" w:hAnsi="宋体" w:cs="宋体"/>
                <w:b/>
                <w:bCs/>
                <w:color w:val="000000"/>
                <w:sz w:val="24"/>
                <w:highlight w:val="none"/>
                <w:u w:val="single"/>
              </w:rPr>
              <w:t xml:space="preserve">佛山市千灯湖创投小镇投资开发有限公司 </w:t>
            </w:r>
          </w:p>
        </w:tc>
      </w:tr>
      <w:tr>
        <w:tblPrEx>
          <w:tblCellMar>
            <w:top w:w="0" w:type="dxa"/>
            <w:left w:w="108" w:type="dxa"/>
            <w:bottom w:w="0" w:type="dxa"/>
            <w:right w:w="108" w:type="dxa"/>
          </w:tblCellMar>
        </w:tblPrEx>
        <w:trPr>
          <w:trHeight w:val="602" w:hRule="atLeast"/>
          <w:jc w:val="center"/>
        </w:trPr>
        <w:tc>
          <w:tcPr>
            <w:tcW w:w="1836" w:type="dxa"/>
            <w:vAlign w:val="center"/>
          </w:tcPr>
          <w:p>
            <w:pPr>
              <w:pStyle w:val="68"/>
              <w:shd w:val="clear"/>
              <w:jc w:val="center"/>
              <w:rPr>
                <w:rFonts w:ascii="宋体" w:hAnsi="宋体" w:cs="宋体"/>
                <w:b/>
                <w:bCs/>
                <w:sz w:val="24"/>
                <w:highlight w:val="none"/>
              </w:rPr>
            </w:pPr>
            <w:r>
              <w:rPr>
                <w:rFonts w:hint="eastAsia" w:ascii="宋体" w:hAnsi="宋体" w:cs="宋体"/>
                <w:b/>
                <w:bCs/>
                <w:color w:val="000000"/>
                <w:sz w:val="24"/>
                <w:highlight w:val="none"/>
              </w:rPr>
              <w:t>乙    方：</w:t>
            </w:r>
          </w:p>
        </w:tc>
        <w:tc>
          <w:tcPr>
            <w:tcW w:w="4843" w:type="dxa"/>
            <w:vAlign w:val="center"/>
          </w:tcPr>
          <w:p>
            <w:pPr>
              <w:pStyle w:val="68"/>
              <w:shd w:val="clear"/>
              <w:jc w:val="left"/>
              <w:rPr>
                <w:rFonts w:ascii="宋体" w:hAnsi="宋体" w:cs="宋体"/>
                <w:b/>
                <w:bCs/>
                <w:sz w:val="24"/>
                <w:highlight w:val="none"/>
                <w:u w:val="single"/>
              </w:rPr>
            </w:pPr>
            <w:r>
              <w:rPr>
                <w:rFonts w:hint="eastAsia" w:ascii="宋体" w:hAnsi="宋体" w:cs="宋体"/>
                <w:b/>
                <w:bCs/>
                <w:color w:val="000000"/>
                <w:sz w:val="24"/>
                <w:highlight w:val="none"/>
                <w:u w:val="single"/>
              </w:rPr>
              <w:t xml:space="preserve">  （中标人名称）      </w:t>
            </w:r>
          </w:p>
        </w:tc>
      </w:tr>
      <w:tr>
        <w:tblPrEx>
          <w:tblCellMar>
            <w:top w:w="0" w:type="dxa"/>
            <w:left w:w="108" w:type="dxa"/>
            <w:bottom w:w="0" w:type="dxa"/>
            <w:right w:w="108" w:type="dxa"/>
          </w:tblCellMar>
        </w:tblPrEx>
        <w:trPr>
          <w:trHeight w:val="602" w:hRule="atLeast"/>
          <w:jc w:val="center"/>
        </w:trPr>
        <w:tc>
          <w:tcPr>
            <w:tcW w:w="1836" w:type="dxa"/>
            <w:vAlign w:val="center"/>
          </w:tcPr>
          <w:p>
            <w:pPr>
              <w:pStyle w:val="68"/>
              <w:shd w:val="clear"/>
              <w:jc w:val="center"/>
              <w:rPr>
                <w:rFonts w:ascii="宋体" w:hAnsi="宋体" w:cs="宋体"/>
                <w:b/>
                <w:bCs/>
                <w:sz w:val="24"/>
                <w:highlight w:val="none"/>
              </w:rPr>
            </w:pPr>
            <w:r>
              <w:rPr>
                <w:rFonts w:hint="eastAsia" w:ascii="宋体" w:hAnsi="宋体" w:cs="宋体"/>
                <w:b/>
                <w:bCs/>
                <w:color w:val="000000"/>
                <w:sz w:val="24"/>
                <w:highlight w:val="none"/>
              </w:rPr>
              <w:t>签订日期：</w:t>
            </w:r>
          </w:p>
        </w:tc>
        <w:tc>
          <w:tcPr>
            <w:tcW w:w="4843" w:type="dxa"/>
            <w:vAlign w:val="center"/>
          </w:tcPr>
          <w:p>
            <w:pPr>
              <w:pStyle w:val="68"/>
              <w:shd w:val="clear"/>
              <w:jc w:val="left"/>
              <w:rPr>
                <w:rFonts w:ascii="宋体" w:hAnsi="宋体" w:cs="宋体"/>
                <w:b/>
                <w:bCs/>
                <w:sz w:val="24"/>
                <w:highlight w:val="none"/>
                <w:u w:val="single"/>
              </w:rPr>
            </w:pPr>
            <w:r>
              <w:rPr>
                <w:rFonts w:hint="eastAsia" w:ascii="宋体" w:hAnsi="宋体" w:cs="宋体"/>
                <w:b/>
                <w:bCs/>
                <w:color w:val="000000"/>
                <w:sz w:val="24"/>
                <w:highlight w:val="none"/>
                <w:u w:val="single"/>
              </w:rPr>
              <w:t xml:space="preserve">       年    月    日        </w:t>
            </w:r>
          </w:p>
        </w:tc>
      </w:tr>
    </w:tbl>
    <w:p>
      <w:pPr>
        <w:pStyle w:val="68"/>
        <w:shd w:val="clear"/>
        <w:spacing w:line="360" w:lineRule="auto"/>
        <w:jc w:val="center"/>
        <w:rPr>
          <w:highlight w:val="none"/>
        </w:rPr>
      </w:pPr>
    </w:p>
    <w:p>
      <w:pPr>
        <w:pStyle w:val="68"/>
        <w:shd w:val="clear"/>
        <w:spacing w:line="360" w:lineRule="auto"/>
        <w:jc w:val="center"/>
        <w:rPr>
          <w:highlight w:val="none"/>
        </w:rPr>
      </w:pPr>
    </w:p>
    <w:p>
      <w:pPr>
        <w:shd w:val="clear"/>
        <w:rPr>
          <w:rFonts w:ascii="宋体" w:hAnsi="宋体" w:cs="宋体"/>
          <w:b/>
          <w:szCs w:val="21"/>
          <w:highlight w:val="none"/>
        </w:rPr>
      </w:pPr>
      <w:r>
        <w:rPr>
          <w:rFonts w:hint="eastAsia" w:ascii="宋体" w:hAnsi="宋体" w:cs="宋体"/>
          <w:b/>
          <w:szCs w:val="21"/>
          <w:highlight w:val="none"/>
        </w:rPr>
        <w:br w:type="page"/>
      </w:r>
    </w:p>
    <w:p>
      <w:pPr>
        <w:shd w:val="clear"/>
        <w:rPr>
          <w:rFonts w:ascii="宋体" w:hAnsi="宋体" w:cs="宋体"/>
          <w:b/>
          <w:szCs w:val="21"/>
          <w:highlight w:val="none"/>
        </w:rPr>
      </w:pPr>
      <w:r>
        <w:rPr>
          <w:rFonts w:hint="eastAsia" w:ascii="宋体" w:hAnsi="宋体" w:cs="宋体"/>
          <w:b/>
          <w:szCs w:val="21"/>
          <w:highlight w:val="none"/>
        </w:rPr>
        <w:t>甲    方</w:t>
      </w:r>
      <w:r>
        <w:rPr>
          <w:rFonts w:hint="eastAsia" w:ascii="宋体" w:hAnsi="宋体" w:cs="宋体"/>
          <w:szCs w:val="21"/>
          <w:highlight w:val="none"/>
        </w:rPr>
        <w:t>（招标人）</w:t>
      </w:r>
      <w:r>
        <w:rPr>
          <w:rFonts w:hint="eastAsia" w:ascii="宋体" w:hAnsi="宋体" w:cs="宋体"/>
          <w:b/>
          <w:szCs w:val="21"/>
          <w:highlight w:val="none"/>
        </w:rPr>
        <w:t>：</w:t>
      </w:r>
      <w:r>
        <w:rPr>
          <w:rFonts w:hint="eastAsia" w:ascii="宋体" w:hAnsi="宋体" w:cs="宋体"/>
          <w:b/>
          <w:szCs w:val="21"/>
          <w:highlight w:val="none"/>
          <w:u w:val="single"/>
        </w:rPr>
        <w:t xml:space="preserve">                 </w:t>
      </w:r>
    </w:p>
    <w:p>
      <w:pPr>
        <w:shd w:val="clear"/>
        <w:spacing w:line="360" w:lineRule="auto"/>
        <w:rPr>
          <w:rFonts w:ascii="宋体" w:hAnsi="宋体" w:cs="宋体"/>
          <w:szCs w:val="21"/>
          <w:highlight w:val="none"/>
        </w:rPr>
      </w:pPr>
      <w:r>
        <w:rPr>
          <w:rFonts w:hint="eastAsia" w:ascii="宋体" w:hAnsi="宋体" w:cs="宋体"/>
          <w:szCs w:val="21"/>
          <w:highlight w:val="none"/>
        </w:rPr>
        <w:t>电    话：           　   传  真：           地  址：</w:t>
      </w:r>
    </w:p>
    <w:p>
      <w:pPr>
        <w:shd w:val="clear"/>
        <w:spacing w:line="360" w:lineRule="auto"/>
        <w:rPr>
          <w:highlight w:val="none"/>
        </w:rPr>
      </w:pPr>
      <w:r>
        <w:rPr>
          <w:rFonts w:hint="eastAsia" w:ascii="宋体" w:hAnsi="宋体" w:cs="宋体"/>
          <w:b/>
          <w:szCs w:val="21"/>
          <w:highlight w:val="none"/>
        </w:rPr>
        <w:t>乙    方</w:t>
      </w:r>
      <w:r>
        <w:rPr>
          <w:rFonts w:hint="eastAsia" w:ascii="宋体" w:hAnsi="宋体" w:cs="宋体"/>
          <w:szCs w:val="21"/>
          <w:highlight w:val="none"/>
        </w:rPr>
        <w:t>（中标人）</w:t>
      </w:r>
      <w:r>
        <w:rPr>
          <w:rFonts w:hint="eastAsia" w:ascii="宋体" w:hAnsi="宋体" w:cs="宋体"/>
          <w:b/>
          <w:szCs w:val="21"/>
          <w:highlight w:val="none"/>
        </w:rPr>
        <w:t>：</w:t>
      </w:r>
      <w:r>
        <w:rPr>
          <w:rFonts w:hint="eastAsia" w:ascii="宋体" w:hAnsi="宋体" w:cs="宋体"/>
          <w:b/>
          <w:szCs w:val="21"/>
          <w:highlight w:val="none"/>
          <w:u w:val="single"/>
        </w:rPr>
        <w:t xml:space="preserve">                  </w:t>
      </w:r>
    </w:p>
    <w:p>
      <w:pPr>
        <w:shd w:val="clear"/>
        <w:spacing w:line="360" w:lineRule="auto"/>
        <w:rPr>
          <w:rFonts w:ascii="宋体" w:hAnsi="宋体" w:cs="宋体"/>
          <w:szCs w:val="21"/>
          <w:highlight w:val="none"/>
        </w:rPr>
      </w:pPr>
      <w:r>
        <w:rPr>
          <w:rFonts w:hint="eastAsia" w:ascii="宋体" w:hAnsi="宋体" w:cs="宋体"/>
          <w:szCs w:val="21"/>
          <w:highlight w:val="none"/>
        </w:rPr>
        <w:t xml:space="preserve">电    话：                传  真：           地  址：   </w:t>
      </w:r>
    </w:p>
    <w:p>
      <w:pPr>
        <w:shd w:val="clear"/>
        <w:spacing w:line="360" w:lineRule="auto"/>
        <w:ind w:firstLine="420" w:firstLineChars="200"/>
        <w:rPr>
          <w:rFonts w:ascii="宋体" w:hAnsi="宋体" w:cs="宋体"/>
          <w:b/>
          <w:szCs w:val="21"/>
          <w:highlight w:val="none"/>
        </w:rPr>
      </w:pPr>
      <w:r>
        <w:rPr>
          <w:rFonts w:hint="eastAsia" w:ascii="宋体" w:hAnsi="宋体" w:cs="宋体"/>
          <w:szCs w:val="21"/>
          <w:highlight w:val="none"/>
        </w:rPr>
        <w:t>根据千灯湖创投特色小镇核心区物业管理服务项目的采购结果，按照《中华人民共和国民法典》的规定，经双方协商，本着平等互利和诚实信用的原则，一致同意签订本合同如下。</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szCs w:val="21"/>
          <w:highlight w:val="none"/>
        </w:rPr>
      </w:pPr>
      <w:r>
        <w:rPr>
          <w:rFonts w:hint="eastAsia" w:ascii="宋体" w:hAnsi="宋体" w:cs="宋体"/>
          <w:b/>
          <w:kern w:val="0"/>
          <w:szCs w:val="21"/>
          <w:highlight w:val="none"/>
        </w:rPr>
        <w:t>项目概况及</w:t>
      </w:r>
      <w:r>
        <w:rPr>
          <w:rFonts w:hint="eastAsia" w:ascii="宋体" w:hAnsi="宋体" w:cs="宋体"/>
          <w:b/>
          <w:szCs w:val="21"/>
          <w:highlight w:val="none"/>
        </w:rPr>
        <w:t>服务范围</w:t>
      </w:r>
    </w:p>
    <w:p>
      <w:pPr>
        <w:numPr>
          <w:ilvl w:val="0"/>
          <w:numId w:val="92"/>
        </w:numPr>
        <w:shd w:val="clear"/>
        <w:spacing w:line="360" w:lineRule="auto"/>
        <w:ind w:firstLine="0"/>
        <w:rPr>
          <w:rFonts w:ascii="宋体" w:hAnsi="宋体" w:cs="宋体"/>
          <w:szCs w:val="21"/>
          <w:highlight w:val="none"/>
        </w:rPr>
      </w:pPr>
      <w:r>
        <w:rPr>
          <w:rFonts w:hint="eastAsia" w:ascii="宋体" w:hAnsi="宋体" w:cs="宋体"/>
          <w:szCs w:val="21"/>
          <w:highlight w:val="none"/>
        </w:rPr>
        <w:t>千灯湖创投特色小镇核心区（下称“核心区”）概况和范围</w:t>
      </w:r>
    </w:p>
    <w:p>
      <w:pPr>
        <w:shd w:val="clear"/>
        <w:spacing w:line="360" w:lineRule="auto"/>
        <w:ind w:firstLine="420" w:firstLineChars="200"/>
        <w:rPr>
          <w:rFonts w:ascii="宋体" w:hAnsi="宋体" w:cs="宋体"/>
          <w:szCs w:val="21"/>
          <w:highlight w:val="none"/>
        </w:rPr>
      </w:pPr>
      <w:r>
        <w:rPr>
          <w:rFonts w:hint="eastAsia" w:ascii="宋体" w:hAnsi="宋体" w:cs="宋体"/>
          <w:szCs w:val="21"/>
          <w:highlight w:val="none"/>
        </w:rPr>
        <w:t>千灯湖创投特色小镇核心区规划总用地面积约7.8万平方米，一期规划建筑面积约5.8万平方米，二期规划建筑面积约 10万平方米。核心区以天使投资、创业投资、风险投资、股权投资等私募基金类、创新型金融业态为产业特色，打造一个低密度、生态化的舒适办公社区。核心区原有建筑21栋，新建建筑9栋，总建筑面积为58730.96平方米，</w:t>
      </w:r>
      <w:r>
        <w:rPr>
          <w:rFonts w:hint="eastAsia"/>
          <w:highlight w:val="none"/>
        </w:rPr>
        <w:t>其中</w:t>
      </w:r>
      <w:r>
        <w:rPr>
          <w:rFonts w:hint="eastAsia" w:ascii="宋体" w:hAnsi="宋体" w:cs="宋体"/>
          <w:szCs w:val="21"/>
          <w:highlight w:val="none"/>
        </w:rPr>
        <w:t>新建可出租物业建筑面积为8136.39平方米，按规划分为六个功能区:金融集聚区、商业配套区、公共服务区、生活服务区、金融/创新孵化混合区、金融/商业混合区。规划平面图、功能分区图详见合同附件1。</w:t>
      </w:r>
    </w:p>
    <w:p>
      <w:pPr>
        <w:shd w:val="clear"/>
        <w:ind w:firstLine="525" w:firstLineChars="250"/>
        <w:rPr>
          <w:rFonts w:ascii="宋体" w:hAnsi="宋体" w:cs="宋体"/>
          <w:szCs w:val="21"/>
          <w:highlight w:val="none"/>
        </w:rPr>
      </w:pPr>
      <w:r>
        <w:rPr>
          <w:rFonts w:hint="eastAsia" w:ascii="宋体" w:hAnsi="宋体" w:cs="宋体"/>
          <w:szCs w:val="21"/>
          <w:highlight w:val="none"/>
        </w:rPr>
        <w:t>园区建筑面积：</w:t>
      </w:r>
    </w:p>
    <w:tbl>
      <w:tblPr>
        <w:tblStyle w:val="22"/>
        <w:tblW w:w="89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3574"/>
        <w:gridCol w:w="1134"/>
        <w:gridCol w:w="24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12" w:type="dxa"/>
            <w:tcBorders>
              <w:tl2br w:val="nil"/>
              <w:tr2bl w:val="nil"/>
            </w:tcBorders>
            <w:vAlign w:val="center"/>
          </w:tcPr>
          <w:p>
            <w:pPr>
              <w:shd w:val="clear"/>
              <w:jc w:val="center"/>
              <w:rPr>
                <w:rFonts w:ascii="宋体" w:hAnsi="宋体" w:cs="宋体"/>
                <w:b/>
                <w:bCs/>
                <w:kern w:val="0"/>
                <w:szCs w:val="21"/>
                <w:highlight w:val="none"/>
              </w:rPr>
            </w:pPr>
            <w:r>
              <w:rPr>
                <w:rFonts w:hint="eastAsia" w:ascii="宋体" w:hAnsi="宋体" w:cs="宋体"/>
                <w:b/>
                <w:bCs/>
                <w:kern w:val="0"/>
                <w:szCs w:val="21"/>
                <w:highlight w:val="none"/>
              </w:rPr>
              <w:t>物业功能</w:t>
            </w:r>
          </w:p>
        </w:tc>
        <w:tc>
          <w:tcPr>
            <w:tcW w:w="3574" w:type="dxa"/>
            <w:tcBorders>
              <w:tl2br w:val="nil"/>
              <w:tr2bl w:val="nil"/>
            </w:tcBorders>
            <w:vAlign w:val="center"/>
          </w:tcPr>
          <w:p>
            <w:pPr>
              <w:shd w:val="clear"/>
              <w:jc w:val="center"/>
              <w:rPr>
                <w:rFonts w:ascii="宋体" w:hAnsi="宋体" w:cs="宋体"/>
                <w:b/>
                <w:bCs/>
                <w:kern w:val="0"/>
                <w:szCs w:val="21"/>
                <w:highlight w:val="none"/>
              </w:rPr>
            </w:pPr>
            <w:r>
              <w:rPr>
                <w:rFonts w:hint="eastAsia" w:ascii="宋体" w:hAnsi="宋体" w:cs="宋体"/>
                <w:b/>
                <w:bCs/>
                <w:kern w:val="0"/>
                <w:szCs w:val="21"/>
                <w:highlight w:val="none"/>
              </w:rPr>
              <w:t>楼宇编号</w:t>
            </w:r>
          </w:p>
        </w:tc>
        <w:tc>
          <w:tcPr>
            <w:tcW w:w="1134" w:type="dxa"/>
            <w:tcBorders>
              <w:tl2br w:val="nil"/>
              <w:tr2bl w:val="nil"/>
            </w:tcBorders>
            <w:vAlign w:val="center"/>
          </w:tcPr>
          <w:p>
            <w:pPr>
              <w:shd w:val="clear"/>
              <w:jc w:val="center"/>
              <w:rPr>
                <w:rFonts w:ascii="宋体" w:hAnsi="宋体" w:cs="宋体"/>
                <w:b/>
                <w:bCs/>
                <w:kern w:val="0"/>
                <w:szCs w:val="21"/>
                <w:highlight w:val="none"/>
              </w:rPr>
            </w:pPr>
            <w:r>
              <w:rPr>
                <w:rFonts w:hint="eastAsia" w:ascii="宋体" w:hAnsi="宋体" w:cs="宋体"/>
                <w:b/>
                <w:bCs/>
                <w:kern w:val="0"/>
                <w:szCs w:val="21"/>
                <w:highlight w:val="none"/>
              </w:rPr>
              <w:t>面积（㎡）</w:t>
            </w:r>
          </w:p>
        </w:tc>
        <w:tc>
          <w:tcPr>
            <w:tcW w:w="2410" w:type="dxa"/>
            <w:tcBorders>
              <w:tl2br w:val="nil"/>
              <w:tr2bl w:val="nil"/>
            </w:tcBorders>
            <w:vAlign w:val="center"/>
          </w:tcPr>
          <w:p>
            <w:pPr>
              <w:shd w:val="clear"/>
              <w:jc w:val="center"/>
              <w:rPr>
                <w:rFonts w:ascii="宋体" w:hAnsi="宋体" w:cs="宋体"/>
                <w:b/>
                <w:bCs/>
                <w:kern w:val="0"/>
                <w:szCs w:val="21"/>
                <w:highlight w:val="none"/>
              </w:rPr>
            </w:pPr>
            <w:r>
              <w:rPr>
                <w:rFonts w:hint="eastAsia" w:ascii="宋体" w:hAnsi="宋体" w:cs="宋体"/>
                <w:b/>
                <w:bCs/>
                <w:ker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1812"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独栋办公物业</w:t>
            </w:r>
          </w:p>
        </w:tc>
        <w:tc>
          <w:tcPr>
            <w:tcW w:w="3574" w:type="dxa"/>
            <w:tcBorders>
              <w:tl2br w:val="nil"/>
              <w:tr2bl w:val="nil"/>
            </w:tcBorders>
          </w:tcPr>
          <w:p>
            <w:pPr>
              <w:shd w:val="clear"/>
              <w:rPr>
                <w:rFonts w:ascii="宋体" w:hAnsi="宋体" w:cs="宋体"/>
                <w:kern w:val="0"/>
                <w:szCs w:val="21"/>
                <w:highlight w:val="none"/>
              </w:rPr>
            </w:pPr>
            <w:r>
              <w:rPr>
                <w:rFonts w:hint="eastAsia" w:ascii="宋体" w:hAnsi="宋体" w:cs="宋体"/>
                <w:kern w:val="0"/>
                <w:szCs w:val="21"/>
                <w:highlight w:val="none"/>
              </w:rPr>
              <w:t>商铺4、商铺5、商铺6、商铺7、商铺8、商铺9、商铺10、六座、七座、十三座、十七座、十八座、二十一座</w:t>
            </w:r>
          </w:p>
        </w:tc>
        <w:tc>
          <w:tcPr>
            <w:tcW w:w="113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6580.26</w:t>
            </w:r>
          </w:p>
        </w:tc>
        <w:tc>
          <w:tcPr>
            <w:tcW w:w="2410"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812"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综合办公物业</w:t>
            </w:r>
          </w:p>
        </w:tc>
        <w:tc>
          <w:tcPr>
            <w:tcW w:w="3574" w:type="dxa"/>
            <w:tcBorders>
              <w:tl2br w:val="nil"/>
              <w:tr2bl w:val="nil"/>
            </w:tcBorders>
          </w:tcPr>
          <w:p>
            <w:pPr>
              <w:shd w:val="clear"/>
              <w:rPr>
                <w:rFonts w:ascii="宋体" w:hAnsi="宋体" w:cs="宋体"/>
                <w:kern w:val="0"/>
                <w:szCs w:val="21"/>
                <w:highlight w:val="none"/>
              </w:rPr>
            </w:pPr>
            <w:r>
              <w:rPr>
                <w:rFonts w:hint="eastAsia" w:ascii="宋体" w:hAnsi="宋体" w:cs="宋体"/>
                <w:kern w:val="0"/>
                <w:szCs w:val="21"/>
                <w:highlight w:val="none"/>
              </w:rPr>
              <w:t>一座（二层以上）、三座（二层以上）、四座（一层北侧、二层）、五座、八座（二、三层）、十四座、十五座、十六座、二十座</w:t>
            </w:r>
          </w:p>
        </w:tc>
        <w:tc>
          <w:tcPr>
            <w:tcW w:w="113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19468.78</w:t>
            </w:r>
          </w:p>
        </w:tc>
        <w:tc>
          <w:tcPr>
            <w:tcW w:w="2410"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812"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商业配套物业</w:t>
            </w:r>
          </w:p>
        </w:tc>
        <w:tc>
          <w:tcPr>
            <w:tcW w:w="3574" w:type="dxa"/>
            <w:tcBorders>
              <w:tl2br w:val="nil"/>
              <w:tr2bl w:val="nil"/>
            </w:tcBorders>
            <w:vAlign w:val="center"/>
          </w:tcPr>
          <w:p>
            <w:pPr>
              <w:shd w:val="clear"/>
              <w:jc w:val="left"/>
              <w:rPr>
                <w:rFonts w:ascii="宋体" w:hAnsi="宋体" w:cs="宋体"/>
                <w:kern w:val="0"/>
                <w:szCs w:val="21"/>
                <w:highlight w:val="none"/>
              </w:rPr>
            </w:pPr>
            <w:r>
              <w:rPr>
                <w:rFonts w:hint="eastAsia" w:ascii="宋体" w:hAnsi="宋体" w:cs="宋体"/>
                <w:kern w:val="0"/>
                <w:szCs w:val="21"/>
                <w:highlight w:val="none"/>
              </w:rPr>
              <w:t>商铺1、商铺2、一座（首层）二座（首层）、三座（首层）、九座、十座、十一座、十二座、十九座</w:t>
            </w:r>
          </w:p>
        </w:tc>
        <w:tc>
          <w:tcPr>
            <w:tcW w:w="113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8259.89</w:t>
            </w:r>
          </w:p>
        </w:tc>
        <w:tc>
          <w:tcPr>
            <w:tcW w:w="2410"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812"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公共配套物业</w:t>
            </w:r>
          </w:p>
        </w:tc>
        <w:tc>
          <w:tcPr>
            <w:tcW w:w="357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八座首层、四座首层路演厅</w:t>
            </w:r>
          </w:p>
        </w:tc>
        <w:tc>
          <w:tcPr>
            <w:tcW w:w="1134" w:type="dxa"/>
            <w:tcBorders>
              <w:tl2br w:val="nil"/>
              <w:tr2bl w:val="nil"/>
            </w:tcBorders>
            <w:vAlign w:val="center"/>
          </w:tcPr>
          <w:p>
            <w:pPr>
              <w:widowControl/>
              <w:shd w:val="clear"/>
              <w:jc w:val="center"/>
              <w:rPr>
                <w:rFonts w:ascii="宋体" w:hAnsi="宋体" w:cs="宋体"/>
                <w:kern w:val="0"/>
                <w:szCs w:val="21"/>
                <w:highlight w:val="none"/>
              </w:rPr>
            </w:pPr>
            <w:r>
              <w:rPr>
                <w:rFonts w:hint="eastAsia" w:ascii="宋体" w:hAnsi="宋体" w:cs="宋体"/>
                <w:kern w:val="0"/>
                <w:szCs w:val="21"/>
                <w:highlight w:val="none"/>
              </w:rPr>
              <w:t>6816.73</w:t>
            </w:r>
          </w:p>
        </w:tc>
        <w:tc>
          <w:tcPr>
            <w:tcW w:w="2410"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812"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功能配套用房</w:t>
            </w:r>
          </w:p>
        </w:tc>
        <w:tc>
          <w:tcPr>
            <w:tcW w:w="357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变电所、水房、</w:t>
            </w:r>
          </w:p>
          <w:p>
            <w:pPr>
              <w:shd w:val="clear"/>
              <w:jc w:val="center"/>
              <w:rPr>
                <w:rFonts w:ascii="宋体" w:hAnsi="宋体" w:cs="宋体"/>
                <w:kern w:val="0"/>
                <w:szCs w:val="21"/>
                <w:highlight w:val="none"/>
              </w:rPr>
            </w:pPr>
            <w:r>
              <w:rPr>
                <w:rFonts w:hint="eastAsia" w:ascii="宋体" w:hAnsi="宋体" w:cs="宋体"/>
                <w:kern w:val="0"/>
                <w:szCs w:val="21"/>
                <w:highlight w:val="none"/>
              </w:rPr>
              <w:t>消防水池（2个）等</w:t>
            </w:r>
          </w:p>
        </w:tc>
        <w:tc>
          <w:tcPr>
            <w:tcW w:w="113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1855.66</w:t>
            </w:r>
          </w:p>
        </w:tc>
        <w:tc>
          <w:tcPr>
            <w:tcW w:w="2410"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812"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甲方</w:t>
            </w:r>
          </w:p>
          <w:p>
            <w:pPr>
              <w:shd w:val="clear"/>
              <w:jc w:val="center"/>
              <w:rPr>
                <w:rFonts w:ascii="宋体" w:hAnsi="宋体" w:cs="宋体"/>
                <w:kern w:val="0"/>
                <w:szCs w:val="21"/>
                <w:highlight w:val="none"/>
              </w:rPr>
            </w:pPr>
            <w:r>
              <w:rPr>
                <w:rFonts w:hint="eastAsia" w:ascii="宋体" w:hAnsi="宋体" w:cs="宋体"/>
                <w:kern w:val="0"/>
                <w:szCs w:val="21"/>
                <w:highlight w:val="none"/>
              </w:rPr>
              <w:t>办公用房</w:t>
            </w:r>
          </w:p>
        </w:tc>
        <w:tc>
          <w:tcPr>
            <w:tcW w:w="357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三座四层</w:t>
            </w:r>
          </w:p>
        </w:tc>
        <w:tc>
          <w:tcPr>
            <w:tcW w:w="113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542.31</w:t>
            </w:r>
          </w:p>
        </w:tc>
        <w:tc>
          <w:tcPr>
            <w:tcW w:w="2410"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812"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其它物业</w:t>
            </w:r>
          </w:p>
        </w:tc>
        <w:tc>
          <w:tcPr>
            <w:tcW w:w="357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人才公寓（二座二层以上）、二十二座</w:t>
            </w:r>
          </w:p>
        </w:tc>
        <w:tc>
          <w:tcPr>
            <w:tcW w:w="113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15207.33</w:t>
            </w:r>
          </w:p>
        </w:tc>
        <w:tc>
          <w:tcPr>
            <w:tcW w:w="2410" w:type="dxa"/>
            <w:tcBorders>
              <w:tl2br w:val="nil"/>
              <w:tr2bl w:val="nil"/>
            </w:tcBorders>
          </w:tcPr>
          <w:p>
            <w:pPr>
              <w:shd w:val="clear"/>
              <w:rPr>
                <w:rFonts w:ascii="宋体" w:hAnsi="宋体" w:cs="宋体"/>
                <w:kern w:val="0"/>
                <w:szCs w:val="21"/>
                <w:highlight w:val="none"/>
              </w:rPr>
            </w:pPr>
            <w:r>
              <w:rPr>
                <w:rFonts w:hint="eastAsia" w:ascii="宋体" w:hAnsi="宋体" w:cs="宋体"/>
                <w:kern w:val="0"/>
                <w:szCs w:val="21"/>
                <w:highlight w:val="none"/>
              </w:rPr>
              <w:t>物业内部物管由承租方自行管理，无需乙方负责，乙方负责建筑外围公共区域及建筑外立面清洁。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6" w:type="dxa"/>
            <w:gridSpan w:val="2"/>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合    计</w:t>
            </w:r>
          </w:p>
        </w:tc>
        <w:tc>
          <w:tcPr>
            <w:tcW w:w="1134"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58730.96</w:t>
            </w:r>
          </w:p>
        </w:tc>
        <w:tc>
          <w:tcPr>
            <w:tcW w:w="2410" w:type="dxa"/>
            <w:tcBorders>
              <w:tl2br w:val="nil"/>
              <w:tr2bl w:val="nil"/>
            </w:tcBorders>
            <w:vAlign w:val="center"/>
          </w:tcPr>
          <w:p>
            <w:pPr>
              <w:shd w:val="clear"/>
              <w:jc w:val="center"/>
              <w:rPr>
                <w:rFonts w:ascii="宋体" w:hAnsi="宋体" w:cs="宋体"/>
                <w:kern w:val="0"/>
                <w:szCs w:val="21"/>
                <w:highlight w:val="none"/>
              </w:rPr>
            </w:pPr>
            <w:r>
              <w:rPr>
                <w:rFonts w:hint="eastAsia" w:ascii="宋体" w:hAnsi="宋体" w:cs="宋体"/>
                <w:kern w:val="0"/>
                <w:szCs w:val="21"/>
                <w:highlight w:val="none"/>
              </w:rPr>
              <w:t>/</w:t>
            </w:r>
          </w:p>
        </w:tc>
      </w:tr>
    </w:tbl>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园区绿化面积：19210.85平方米（不含二期建设项目用地）；</w:t>
      </w:r>
    </w:p>
    <w:p>
      <w:pPr>
        <w:shd w:val="clear"/>
        <w:adjustRightInd w:val="0"/>
        <w:snapToGrid w:val="0"/>
        <w:spacing w:line="360" w:lineRule="auto"/>
        <w:ind w:left="359" w:leftChars="171" w:firstLine="472" w:firstLineChars="225"/>
        <w:rPr>
          <w:rFonts w:ascii="宋体" w:hAnsi="宋体" w:cs="宋体"/>
          <w:szCs w:val="21"/>
          <w:highlight w:val="none"/>
        </w:rPr>
      </w:pPr>
      <w:r>
        <w:rPr>
          <w:rFonts w:hint="eastAsia" w:ascii="宋体" w:hAnsi="宋体" w:cs="宋体"/>
          <w:kern w:val="0"/>
          <w:szCs w:val="21"/>
          <w:highlight w:val="none"/>
        </w:rPr>
        <w:t>园区道路、广场铺装面积：20254平方米；</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园区水景面积：2253平方米；</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园区主要出入口：西门、南门；</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电梯台数：8台（两层、六层、八层各1台， 五层2台，三层3台）。</w:t>
      </w:r>
    </w:p>
    <w:p>
      <w:pPr>
        <w:shd w:val="clea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备注：①目前二期建设项目用地于2022年动工建设，计划将于2026年6月完工，在实施二期建设项目期间，乙方需负责建设期间场地</w:t>
      </w:r>
      <w:r>
        <w:rPr>
          <w:rFonts w:hint="eastAsia" w:hAnsi="宋体" w:cs="宋体"/>
          <w:kern w:val="0"/>
          <w:szCs w:val="21"/>
          <w:highlight w:val="none"/>
        </w:rPr>
        <w:t>外围</w:t>
      </w:r>
      <w:r>
        <w:rPr>
          <w:rFonts w:hint="eastAsia" w:ascii="宋体" w:hAnsi="宋体" w:cs="宋体"/>
          <w:kern w:val="0"/>
          <w:szCs w:val="21"/>
          <w:highlight w:val="none"/>
        </w:rPr>
        <w:t>的物业管理工作；②园区三圣河道水质由政府相关部门管理，水景面积不含三圣河，但乙方需负责配合三圣河的落叶、水上垃圾清理。</w:t>
      </w:r>
    </w:p>
    <w:p>
      <w:pPr>
        <w:numPr>
          <w:ilvl w:val="0"/>
          <w:numId w:val="92"/>
        </w:numPr>
        <w:shd w:val="clear"/>
        <w:spacing w:line="360" w:lineRule="auto"/>
        <w:ind w:firstLine="0"/>
        <w:rPr>
          <w:rFonts w:ascii="宋体" w:hAnsi="宋体" w:cs="宋体"/>
          <w:szCs w:val="21"/>
          <w:highlight w:val="none"/>
        </w:rPr>
      </w:pPr>
      <w:r>
        <w:rPr>
          <w:rFonts w:hint="eastAsia" w:ascii="宋体" w:hAnsi="宋体" w:cs="宋体"/>
          <w:szCs w:val="21"/>
          <w:highlight w:val="none"/>
        </w:rPr>
        <w:t>项目内容概况</w:t>
      </w:r>
    </w:p>
    <w:p>
      <w:pPr>
        <w:shd w:val="clear"/>
        <w:spacing w:line="360" w:lineRule="auto"/>
        <w:ind w:firstLine="420" w:firstLineChars="200"/>
        <w:rPr>
          <w:rFonts w:ascii="宋体" w:hAnsi="宋体" w:cs="宋体"/>
          <w:szCs w:val="21"/>
          <w:highlight w:val="none"/>
        </w:rPr>
      </w:pPr>
      <w:r>
        <w:rPr>
          <w:rFonts w:hint="eastAsia" w:ascii="宋体" w:hAnsi="宋体" w:cs="宋体"/>
          <w:szCs w:val="21"/>
          <w:highlight w:val="none"/>
        </w:rPr>
        <w:t>在核心区范围内提供物业管理相关服务，包括保安、消防、清洁、绿化、工程维修（房屋及附属物）、设备设施维护及管理（公共照明、智能化系统、消防系统、电梯、电房、空调、监控系统等)、消杀四害、园区服务等。</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szCs w:val="21"/>
          <w:highlight w:val="none"/>
        </w:rPr>
      </w:pPr>
      <w:r>
        <w:rPr>
          <w:rFonts w:hint="eastAsia" w:ascii="宋体" w:hAnsi="宋体" w:cs="宋体"/>
          <w:b/>
          <w:szCs w:val="21"/>
          <w:highlight w:val="none"/>
        </w:rPr>
        <w:t>合同金额</w:t>
      </w:r>
    </w:p>
    <w:p>
      <w:pPr>
        <w:numPr>
          <w:ilvl w:val="0"/>
          <w:numId w:val="93"/>
        </w:numPr>
        <w:shd w:val="clear"/>
        <w:adjustRightInd w:val="0"/>
        <w:snapToGrid w:val="0"/>
        <w:spacing w:line="360" w:lineRule="auto"/>
        <w:ind w:firstLine="0"/>
        <w:rPr>
          <w:rFonts w:ascii="宋体" w:hAnsi="宋体" w:cs="宋体"/>
          <w:szCs w:val="21"/>
          <w:highlight w:val="none"/>
        </w:rPr>
      </w:pPr>
      <w:r>
        <w:rPr>
          <w:rFonts w:hint="eastAsia" w:ascii="宋体" w:hAnsi="宋体" w:cs="宋体"/>
          <w:szCs w:val="21"/>
          <w:highlight w:val="none"/>
        </w:rPr>
        <w:t>本合同物业管理服务费（含税）总计：</w:t>
      </w:r>
      <w:r>
        <w:rPr>
          <w:rFonts w:hint="eastAsia" w:ascii="宋体" w:hAnsi="宋体" w:cs="宋体"/>
          <w:szCs w:val="21"/>
          <w:highlight w:val="none"/>
          <w:u w:val="single"/>
        </w:rPr>
        <w:t xml:space="preserve">人民币                </w:t>
      </w:r>
      <w:r>
        <w:rPr>
          <w:rFonts w:hint="eastAsia" w:ascii="宋体" w:hAnsi="宋体" w:cs="宋体"/>
          <w:szCs w:val="21"/>
          <w:highlight w:val="none"/>
        </w:rPr>
        <w:t>（￥</w:t>
      </w:r>
      <w:r>
        <w:rPr>
          <w:rFonts w:hint="eastAsia" w:ascii="宋体" w:hAnsi="宋体" w:cs="宋体"/>
          <w:szCs w:val="21"/>
          <w:highlight w:val="none"/>
          <w:u w:val="single"/>
        </w:rPr>
        <w:t xml:space="preserve">            元</w:t>
      </w:r>
      <w:r>
        <w:rPr>
          <w:rFonts w:hint="eastAsia" w:ascii="宋体" w:hAnsi="宋体" w:cs="宋体"/>
          <w:szCs w:val="21"/>
          <w:highlight w:val="none"/>
        </w:rPr>
        <w:t>），（税率为  %，该合同不含税总价为¥     元，增值税额为¥       元。）合同执行期间，如税率存在调整，一切按国家税务总局发布的税率为准。如上述不含税总价、增值税额总价与发票存在小数点差额，以发票开具为准。每月的物业管理服务费（含税）：</w:t>
      </w:r>
      <w:r>
        <w:rPr>
          <w:rFonts w:hint="eastAsia" w:ascii="宋体" w:hAnsi="宋体" w:cs="宋体"/>
          <w:szCs w:val="21"/>
          <w:highlight w:val="none"/>
          <w:u w:val="single"/>
        </w:rPr>
        <w:t xml:space="preserve">人民币                </w:t>
      </w:r>
      <w:r>
        <w:rPr>
          <w:rFonts w:hint="eastAsia" w:ascii="宋体" w:hAnsi="宋体" w:cs="宋体"/>
          <w:szCs w:val="21"/>
          <w:highlight w:val="none"/>
        </w:rPr>
        <w:t>（￥</w:t>
      </w:r>
      <w:r>
        <w:rPr>
          <w:rFonts w:hint="eastAsia" w:ascii="宋体" w:hAnsi="宋体" w:cs="宋体"/>
          <w:szCs w:val="21"/>
          <w:highlight w:val="none"/>
          <w:u w:val="single"/>
        </w:rPr>
        <w:t xml:space="preserve">             元</w:t>
      </w:r>
      <w:r>
        <w:rPr>
          <w:rFonts w:hint="eastAsia" w:ascii="宋体" w:hAnsi="宋体" w:cs="宋体"/>
          <w:szCs w:val="21"/>
          <w:highlight w:val="none"/>
        </w:rPr>
        <w:t>）。</w:t>
      </w:r>
    </w:p>
    <w:p>
      <w:pPr>
        <w:numPr>
          <w:ilvl w:val="0"/>
          <w:numId w:val="93"/>
        </w:numPr>
        <w:shd w:val="clear"/>
        <w:spacing w:line="360" w:lineRule="auto"/>
        <w:ind w:firstLine="0"/>
        <w:rPr>
          <w:rFonts w:ascii="宋体" w:hAnsi="宋体" w:cs="宋体"/>
          <w:szCs w:val="21"/>
          <w:highlight w:val="none"/>
        </w:rPr>
      </w:pPr>
      <w:r>
        <w:rPr>
          <w:rFonts w:hint="eastAsia" w:ascii="宋体" w:hAnsi="宋体" w:cs="宋体"/>
          <w:szCs w:val="21"/>
          <w:highlight w:val="none"/>
        </w:rPr>
        <w:t>本项目乙方按招标文件给定的服务要求进行报价，合同总价已包含</w:t>
      </w:r>
      <w:r>
        <w:rPr>
          <w:rFonts w:hint="eastAsia" w:hAnsi="宋体" w:cs="宋体"/>
          <w:kern w:val="0"/>
          <w:szCs w:val="21"/>
          <w:highlight w:val="none"/>
        </w:rPr>
        <w:t>物业管理</w:t>
      </w:r>
      <w:r>
        <w:rPr>
          <w:rFonts w:hint="eastAsia" w:ascii="宋体" w:hAnsi="宋体" w:cs="宋体"/>
          <w:szCs w:val="21"/>
          <w:highlight w:val="none"/>
        </w:rPr>
        <w:t>服务费、人工费（含工资、社保、工伤意外保险、全勤补助、节假日补助、加班费、高温补助费、年终奖励金等）、清洁所需材料或工具费、设备车辆、各种税费、中标服务费、相关用具的使用费用及各项税费等一切与完成本项目相关费用及合同实施过程中应预见和不可预见的一切费用。对于园区内未明确数量的物业服务对象，视为已经包含在合同总价中，不再按实际数量调整，本合同中提供的物业管理服务面积，若与实际情况不符时，甲方不作调整，按本合同总价结算。</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szCs w:val="21"/>
          <w:highlight w:val="none"/>
        </w:rPr>
      </w:pPr>
      <w:r>
        <w:rPr>
          <w:rFonts w:hint="eastAsia" w:ascii="宋体" w:hAnsi="宋体" w:cs="宋体"/>
          <w:b/>
          <w:szCs w:val="21"/>
          <w:highlight w:val="none"/>
        </w:rPr>
        <w:t>服务期限</w:t>
      </w:r>
    </w:p>
    <w:p>
      <w:pPr>
        <w:shd w:val="clear"/>
        <w:spacing w:line="360" w:lineRule="auto"/>
        <w:ind w:firstLine="369" w:firstLineChars="176"/>
        <w:rPr>
          <w:rFonts w:ascii="宋体" w:hAnsi="宋体" w:cs="宋体"/>
          <w:szCs w:val="21"/>
          <w:highlight w:val="none"/>
        </w:rPr>
      </w:pPr>
      <w:r>
        <w:rPr>
          <w:rFonts w:hint="eastAsia" w:ascii="宋体" w:hAnsi="宋体" w:cs="宋体"/>
          <w:szCs w:val="21"/>
          <w:highlight w:val="none"/>
        </w:rPr>
        <w:t>两年，</w:t>
      </w:r>
      <w:r>
        <w:rPr>
          <w:rFonts w:hint="eastAsia" w:ascii="宋体" w:hAnsi="宋体" w:cs="宋体"/>
          <w:szCs w:val="21"/>
          <w:highlight w:val="none"/>
          <w:u w:val="single"/>
        </w:rPr>
        <w:t>自2023年   月   日起至     年   月   日</w:t>
      </w:r>
      <w:r>
        <w:rPr>
          <w:rFonts w:hint="eastAsia" w:ascii="宋体" w:hAnsi="宋体" w:cs="宋体"/>
          <w:szCs w:val="21"/>
          <w:highlight w:val="none"/>
        </w:rPr>
        <w:t>止。</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szCs w:val="21"/>
          <w:highlight w:val="none"/>
        </w:rPr>
      </w:pPr>
      <w:r>
        <w:rPr>
          <w:rFonts w:hint="eastAsia" w:ascii="宋体" w:hAnsi="宋体" w:cs="宋体"/>
          <w:b/>
          <w:szCs w:val="21"/>
          <w:highlight w:val="none"/>
        </w:rPr>
        <w:t>付款方式</w:t>
      </w:r>
    </w:p>
    <w:p>
      <w:pPr>
        <w:numPr>
          <w:ilvl w:val="0"/>
          <w:numId w:val="94"/>
        </w:numPr>
        <w:shd w:val="clear"/>
        <w:spacing w:line="360" w:lineRule="auto"/>
        <w:ind w:firstLine="0"/>
        <w:rPr>
          <w:rFonts w:ascii="宋体" w:hAnsi="宋体" w:cs="宋体"/>
          <w:szCs w:val="21"/>
          <w:highlight w:val="none"/>
        </w:rPr>
      </w:pPr>
      <w:r>
        <w:rPr>
          <w:rFonts w:hint="eastAsia" w:ascii="宋体" w:hAnsi="宋体" w:cs="宋体"/>
          <w:szCs w:val="21"/>
          <w:highlight w:val="none"/>
        </w:rPr>
        <w:t>合同生效后，甲方在服务期限内按月支付物业管理服务费。结合物业管理服务质量考核情况及园区承担维修扣除费用情况，甲方收到乙方提交的依法纳税的有效等额服务费增值税专用发票后，于每月的30日前支付上一个月的物管费用，物业管理服务费用以转账方式转入乙方的银行账户。</w:t>
      </w:r>
    </w:p>
    <w:p>
      <w:pPr>
        <w:numPr>
          <w:ilvl w:val="0"/>
          <w:numId w:val="94"/>
        </w:numPr>
        <w:shd w:val="clear"/>
        <w:spacing w:line="360" w:lineRule="auto"/>
        <w:ind w:firstLine="0"/>
        <w:rPr>
          <w:rFonts w:ascii="宋体" w:hAnsi="宋体" w:cs="宋体"/>
          <w:szCs w:val="21"/>
          <w:highlight w:val="none"/>
        </w:rPr>
      </w:pPr>
      <w:r>
        <w:rPr>
          <w:rFonts w:hint="eastAsia" w:ascii="宋体" w:hAnsi="宋体" w:cs="宋体"/>
          <w:szCs w:val="21"/>
          <w:highlight w:val="none"/>
        </w:rPr>
        <w:t>每月物业管理费用＝合同总价（含税）÷24个月-月度考核、甲方承担维修项目扣除的物业管理费（如有）。</w:t>
      </w:r>
    </w:p>
    <w:p>
      <w:pPr>
        <w:numPr>
          <w:ilvl w:val="0"/>
          <w:numId w:val="94"/>
        </w:numPr>
        <w:shd w:val="clear"/>
        <w:spacing w:line="360" w:lineRule="auto"/>
        <w:ind w:firstLine="0"/>
        <w:rPr>
          <w:rFonts w:ascii="宋体" w:hAnsi="宋体" w:cs="宋体"/>
          <w:szCs w:val="21"/>
          <w:highlight w:val="none"/>
        </w:rPr>
      </w:pPr>
      <w:r>
        <w:rPr>
          <w:rFonts w:hint="eastAsia" w:ascii="宋体" w:hAnsi="宋体" w:cs="宋体"/>
          <w:szCs w:val="21"/>
          <w:highlight w:val="none"/>
        </w:rPr>
        <w:t>乙方为甲方提供服务期间，有临时增加或超出本项目范围的费用，由双方另行商议。</w:t>
      </w:r>
      <w:r>
        <w:rPr>
          <w:rFonts w:hint="eastAsia" w:ascii="宋体" w:hAnsi="宋体" w:cs="宋体"/>
          <w:szCs w:val="21"/>
          <w:highlight w:val="none"/>
          <w:lang w:val="en-US" w:eastAsia="zh-CN"/>
        </w:rPr>
        <w:t>未经甲方书面同意，对于乙方临时增加或超出本项目范围的费用，甲方有权不承担。</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szCs w:val="21"/>
          <w:highlight w:val="none"/>
        </w:rPr>
      </w:pPr>
      <w:r>
        <w:rPr>
          <w:rFonts w:hint="eastAsia" w:ascii="宋体" w:hAnsi="宋体" w:cs="宋体"/>
          <w:b/>
          <w:szCs w:val="21"/>
          <w:highlight w:val="none"/>
        </w:rPr>
        <w:t>服务要求</w:t>
      </w:r>
    </w:p>
    <w:p>
      <w:pPr>
        <w:shd w:val="clear"/>
        <w:adjustRightInd w:val="0"/>
        <w:snapToGri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乙方提供的物业管理服务应达到约定的质量标准，物业服务标准内无约定的，则按《物业管理条例》等国家、地方政府的有关规定、行业标准执行。</w:t>
      </w:r>
    </w:p>
    <w:p>
      <w:pPr>
        <w:numPr>
          <w:ilvl w:val="0"/>
          <w:numId w:val="95"/>
        </w:numPr>
        <w:shd w:val="clear"/>
        <w:adjustRightInd w:val="0"/>
        <w:snapToGrid w:val="0"/>
        <w:spacing w:line="360" w:lineRule="auto"/>
        <w:ind w:firstLine="0"/>
        <w:rPr>
          <w:rFonts w:ascii="宋体" w:hAnsi="宋体" w:cs="宋体"/>
          <w:b/>
          <w:kern w:val="0"/>
          <w:szCs w:val="21"/>
          <w:highlight w:val="none"/>
        </w:rPr>
      </w:pPr>
      <w:r>
        <w:rPr>
          <w:rFonts w:hint="eastAsia" w:ascii="宋体" w:hAnsi="宋体" w:cs="宋体"/>
          <w:b/>
          <w:kern w:val="0"/>
          <w:szCs w:val="21"/>
          <w:highlight w:val="none"/>
        </w:rPr>
        <w:t>制度管理</w:t>
      </w:r>
    </w:p>
    <w:p>
      <w:pPr>
        <w:numPr>
          <w:ilvl w:val="0"/>
          <w:numId w:val="9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有完善的物业管理方案，质量管理、财务管理、档案管理等制度健全。管理服务中的相关作业记录完整，可追溯；</w:t>
      </w:r>
    </w:p>
    <w:p>
      <w:pPr>
        <w:numPr>
          <w:ilvl w:val="0"/>
          <w:numId w:val="9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制订、保管和更新物业管理规章制度和实施细则；</w:t>
      </w:r>
    </w:p>
    <w:p>
      <w:pPr>
        <w:numPr>
          <w:ilvl w:val="0"/>
          <w:numId w:val="9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制订大要事计划、物业维修及养护计划、设施/设备年度检修计划、月季年度工作计划并记录实施情况；</w:t>
      </w:r>
    </w:p>
    <w:p>
      <w:pPr>
        <w:numPr>
          <w:ilvl w:val="0"/>
          <w:numId w:val="9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制定和实施保安、保洁工作的规章制度、工作程序和工作标准；</w:t>
      </w:r>
    </w:p>
    <w:p>
      <w:pPr>
        <w:numPr>
          <w:ilvl w:val="0"/>
          <w:numId w:val="9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制订安全生产管理规章制度和各种应急预案；</w:t>
      </w:r>
    </w:p>
    <w:p>
      <w:pPr>
        <w:numPr>
          <w:ilvl w:val="0"/>
          <w:numId w:val="9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制订值班巡查规章制度、安排巡逻路线、排班计划，节假日值班计划；</w:t>
      </w:r>
    </w:p>
    <w:p>
      <w:pPr>
        <w:numPr>
          <w:ilvl w:val="0"/>
          <w:numId w:val="9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制订、整理及保管其它必要的档案和资料；</w:t>
      </w:r>
    </w:p>
    <w:p>
      <w:pPr>
        <w:numPr>
          <w:ilvl w:val="0"/>
          <w:numId w:val="9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每月至少报送1次月度报告，内容应详尽，有相应的摄像照片记录。</w:t>
      </w:r>
    </w:p>
    <w:p>
      <w:pPr>
        <w:numPr>
          <w:ilvl w:val="0"/>
          <w:numId w:val="95"/>
        </w:numPr>
        <w:shd w:val="clear"/>
        <w:adjustRightInd w:val="0"/>
        <w:snapToGrid w:val="0"/>
        <w:spacing w:line="360" w:lineRule="auto"/>
        <w:ind w:firstLine="0"/>
        <w:rPr>
          <w:rFonts w:ascii="宋体" w:hAnsi="宋体" w:cs="宋体"/>
          <w:b/>
          <w:kern w:val="0"/>
          <w:szCs w:val="21"/>
          <w:highlight w:val="none"/>
        </w:rPr>
      </w:pPr>
      <w:r>
        <w:rPr>
          <w:rFonts w:hint="eastAsia" w:ascii="宋体" w:hAnsi="宋体" w:cs="宋体"/>
          <w:b/>
          <w:kern w:val="0"/>
          <w:szCs w:val="21"/>
          <w:highlight w:val="none"/>
        </w:rPr>
        <w:t>秩序/安保管理</w:t>
      </w:r>
    </w:p>
    <w:p>
      <w:pPr>
        <w:numPr>
          <w:ilvl w:val="0"/>
          <w:numId w:val="9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与当地公安机关建立联防机制，协助进行治安管理工作；</w:t>
      </w:r>
    </w:p>
    <w:p>
      <w:pPr>
        <w:numPr>
          <w:ilvl w:val="0"/>
          <w:numId w:val="9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.全天24小时值班、巡查制度（固定路线和机动路线），设置形象岗位和机动岗位，要求3分钟内能集结5人以上应对突发情况；</w:t>
      </w:r>
    </w:p>
    <w:p>
      <w:pPr>
        <w:numPr>
          <w:ilvl w:val="0"/>
          <w:numId w:val="9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全天24小时公共秩序和交通秩序的管理；车辆、财物和人员的出入、行驶及停泊管理（摩托车、单车按甲方要求统一停放在指定区域）；</w:t>
      </w:r>
    </w:p>
    <w:p>
      <w:pPr>
        <w:numPr>
          <w:ilvl w:val="0"/>
          <w:numId w:val="9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协助有关部门进行消防、防止群体冲突、应对紧急事件和灾难应变，并定期进行上述演习；</w:t>
      </w:r>
    </w:p>
    <w:p>
      <w:pPr>
        <w:numPr>
          <w:ilvl w:val="0"/>
          <w:numId w:val="9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与园区租户、行政部门形成联络机制，建立联防机制；</w:t>
      </w:r>
    </w:p>
    <w:p>
      <w:pPr>
        <w:numPr>
          <w:ilvl w:val="0"/>
          <w:numId w:val="9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实行军事化培训和管理，安保岗位要求</w:t>
      </w:r>
      <w:r>
        <w:rPr>
          <w:rFonts w:hint="eastAsia" w:ascii="宋体" w:hAnsi="宋体" w:cs="宋体"/>
          <w:kern w:val="0"/>
          <w:szCs w:val="21"/>
          <w:highlight w:val="none"/>
          <w:lang w:val="en-US" w:eastAsia="zh-CN"/>
        </w:rPr>
        <w:t>40</w:t>
      </w:r>
      <w:r>
        <w:rPr>
          <w:rFonts w:hint="eastAsia" w:ascii="宋体" w:hAnsi="宋体" w:cs="宋体"/>
          <w:kern w:val="0"/>
          <w:szCs w:val="21"/>
          <w:highlight w:val="none"/>
        </w:rPr>
        <w:t>周岁以下；</w:t>
      </w:r>
    </w:p>
    <w:p>
      <w:pPr>
        <w:numPr>
          <w:ilvl w:val="0"/>
          <w:numId w:val="9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按要求做好门岗、巡逻、监控、交通管理工作，具体如下；</w:t>
      </w:r>
    </w:p>
    <w:tbl>
      <w:tblPr>
        <w:tblStyle w:val="22"/>
        <w:tblW w:w="88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0"/>
        <w:gridCol w:w="84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rPr>
                <w:rFonts w:ascii="宋体" w:hAnsi="宋体" w:cs="宋体"/>
                <w:kern w:val="0"/>
                <w:szCs w:val="21"/>
                <w:highlight w:val="none"/>
              </w:rPr>
            </w:pPr>
            <w:r>
              <w:rPr>
                <w:rFonts w:hint="eastAsia" w:ascii="宋体" w:hAnsi="宋体" w:cs="宋体"/>
                <w:b/>
                <w:kern w:val="0"/>
                <w:szCs w:val="21"/>
                <w:highlight w:val="none"/>
              </w:rPr>
              <w:t>A</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b/>
                <w:kern w:val="0"/>
                <w:szCs w:val="21"/>
                <w:highlight w:val="none"/>
              </w:rPr>
            </w:pPr>
            <w:r>
              <w:rPr>
                <w:rFonts w:hint="eastAsia" w:ascii="宋体" w:hAnsi="宋体" w:cs="宋体"/>
                <w:b/>
                <w:kern w:val="0"/>
                <w:szCs w:val="21"/>
                <w:highlight w:val="none"/>
              </w:rPr>
              <w:t>门岗管理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1</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kern w:val="0"/>
                <w:szCs w:val="21"/>
                <w:highlight w:val="none"/>
              </w:rPr>
            </w:pPr>
            <w:r>
              <w:rPr>
                <w:rFonts w:hint="eastAsia" w:ascii="宋体" w:hAnsi="宋体" w:cs="宋体"/>
                <w:kern w:val="0"/>
                <w:szCs w:val="21"/>
                <w:highlight w:val="none"/>
              </w:rPr>
              <w:t>主出入口设置形象岗，要求</w:t>
            </w:r>
            <w:r>
              <w:rPr>
                <w:rFonts w:hint="eastAsia" w:ascii="宋体" w:hAnsi="宋体" w:cs="宋体"/>
                <w:kern w:val="0"/>
                <w:szCs w:val="21"/>
                <w:highlight w:val="none"/>
                <w:lang w:val="en-US" w:eastAsia="zh-CN"/>
              </w:rPr>
              <w:t>40</w:t>
            </w:r>
            <w:r>
              <w:rPr>
                <w:rFonts w:hint="eastAsia" w:ascii="宋体" w:hAnsi="宋体" w:cs="宋体"/>
                <w:kern w:val="0"/>
                <w:szCs w:val="21"/>
                <w:highlight w:val="none"/>
              </w:rPr>
              <w:t>岁以下，形象好、身体素质好。门岗24 小时值班，值班人员举止文明、态度和蔼，用语规范、礼仪规范，按时到岗，坚守岗位不脱岗。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2</w:t>
            </w:r>
          </w:p>
        </w:tc>
        <w:tc>
          <w:tcPr>
            <w:tcW w:w="8459" w:type="dxa"/>
            <w:tcBorders>
              <w:tl2br w:val="nil"/>
              <w:tr2bl w:val="nil"/>
            </w:tcBorders>
            <w:vAlign w:val="center"/>
          </w:tcPr>
          <w:p>
            <w:pPr>
              <w:shd w:val="clear"/>
              <w:spacing w:line="276" w:lineRule="auto"/>
              <w:jc w:val="left"/>
              <w:rPr>
                <w:rFonts w:ascii="宋体" w:hAnsi="宋体" w:cs="宋体"/>
                <w:kern w:val="0"/>
                <w:szCs w:val="21"/>
                <w:highlight w:val="none"/>
              </w:rPr>
            </w:pPr>
            <w:r>
              <w:rPr>
                <w:rFonts w:hint="eastAsia" w:ascii="宋体" w:hAnsi="宋体" w:cs="宋体"/>
                <w:kern w:val="0"/>
                <w:szCs w:val="21"/>
                <w:highlight w:val="none"/>
              </w:rPr>
              <w:t>保持个人仪表整洁、门岗周围环境清洁，注意观察人员进出情况，发现疑点应当及时询问，劝阻小商小贩不要在物业管理区域内乱设摊点。对进出物业管理区域的各类车辆进行有效疏导，保持出入口畅通。无人值守的人行通道非开放时间上锁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3</w:t>
            </w:r>
          </w:p>
        </w:tc>
        <w:tc>
          <w:tcPr>
            <w:tcW w:w="8459" w:type="dxa"/>
            <w:tcBorders>
              <w:tl2br w:val="nil"/>
              <w:tr2bl w:val="nil"/>
            </w:tcBorders>
            <w:vAlign w:val="center"/>
          </w:tcPr>
          <w:p>
            <w:pPr>
              <w:shd w:val="clear"/>
              <w:spacing w:line="276" w:lineRule="auto"/>
              <w:rPr>
                <w:rFonts w:ascii="宋体" w:hAnsi="宋体" w:cs="宋体"/>
                <w:kern w:val="0"/>
                <w:szCs w:val="21"/>
                <w:highlight w:val="none"/>
              </w:rPr>
            </w:pPr>
            <w:r>
              <w:rPr>
                <w:rFonts w:hint="eastAsia" w:ascii="宋体" w:hAnsi="宋体" w:cs="宋体"/>
                <w:kern w:val="0"/>
                <w:szCs w:val="21"/>
                <w:highlight w:val="none"/>
              </w:rPr>
              <w:t>根据园区管理要求，对指定区域临时进出的人员实行登记及去向公司人员确认，做到区内无形迹可疑、无明确探访对象的闲杂人员、广告推销人员进入或逗留。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4</w:t>
            </w:r>
          </w:p>
        </w:tc>
        <w:tc>
          <w:tcPr>
            <w:tcW w:w="8459" w:type="dxa"/>
            <w:tcBorders>
              <w:tl2br w:val="nil"/>
              <w:tr2bl w:val="nil"/>
            </w:tcBorders>
            <w:vAlign w:val="center"/>
          </w:tcPr>
          <w:p>
            <w:pPr>
              <w:shd w:val="clear"/>
              <w:spacing w:line="276" w:lineRule="auto"/>
              <w:rPr>
                <w:rFonts w:ascii="宋体" w:hAnsi="宋体" w:cs="宋体"/>
                <w:kern w:val="0"/>
                <w:szCs w:val="21"/>
                <w:highlight w:val="none"/>
              </w:rPr>
            </w:pPr>
            <w:r>
              <w:rPr>
                <w:rFonts w:hint="eastAsia" w:ascii="宋体" w:hAnsi="宋体" w:cs="宋体"/>
                <w:kern w:val="0"/>
                <w:szCs w:val="21"/>
                <w:highlight w:val="none"/>
              </w:rPr>
              <w:t>对物品进出实施分类管理，大件及电器设备物品进出应进行审验，拒绝危险物品进入。大件及电器设备物品出园应事前检查，并报甲方审批同意。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b/>
                <w:kern w:val="0"/>
                <w:szCs w:val="21"/>
                <w:highlight w:val="none"/>
              </w:rPr>
              <w:t>B</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b/>
                <w:kern w:val="0"/>
                <w:szCs w:val="21"/>
                <w:highlight w:val="none"/>
              </w:rPr>
            </w:pPr>
            <w:r>
              <w:rPr>
                <w:rFonts w:hint="eastAsia" w:ascii="宋体" w:hAnsi="宋体" w:cs="宋体"/>
                <w:b/>
                <w:kern w:val="0"/>
                <w:szCs w:val="21"/>
                <w:highlight w:val="none"/>
              </w:rPr>
              <w:t>巡逻管理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1</w:t>
            </w:r>
          </w:p>
        </w:tc>
        <w:tc>
          <w:tcPr>
            <w:tcW w:w="8459" w:type="dxa"/>
            <w:tcBorders>
              <w:tl2br w:val="nil"/>
              <w:tr2bl w:val="nil"/>
            </w:tcBorders>
            <w:vAlign w:val="center"/>
          </w:tcPr>
          <w:p>
            <w:pPr>
              <w:shd w:val="clear"/>
              <w:spacing w:line="276" w:lineRule="auto"/>
              <w:rPr>
                <w:rFonts w:ascii="宋体" w:hAnsi="宋体" w:cs="宋体"/>
                <w:kern w:val="0"/>
                <w:szCs w:val="21"/>
                <w:highlight w:val="none"/>
              </w:rPr>
            </w:pPr>
            <w:r>
              <w:rPr>
                <w:rFonts w:hint="eastAsia" w:ascii="宋体" w:hAnsi="宋体" w:cs="宋体"/>
                <w:kern w:val="0"/>
                <w:szCs w:val="21"/>
                <w:highlight w:val="none"/>
              </w:rPr>
              <w:t>配备电子轨迹巡更系统，并负责相关设备、软件购置及维护的费用投入；科学、合理安排巡逻路线，重点、要害部分每2小时至少巡逻1次，发现违法、违章行为应及时制止。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2</w:t>
            </w:r>
          </w:p>
        </w:tc>
        <w:tc>
          <w:tcPr>
            <w:tcW w:w="8459" w:type="dxa"/>
            <w:tcBorders>
              <w:tl2br w:val="nil"/>
              <w:tr2bl w:val="nil"/>
            </w:tcBorders>
            <w:vAlign w:val="center"/>
          </w:tcPr>
          <w:p>
            <w:pPr>
              <w:shd w:val="clear"/>
              <w:spacing w:line="276" w:lineRule="auto"/>
              <w:rPr>
                <w:rFonts w:ascii="宋体" w:hAnsi="宋体" w:cs="宋体"/>
                <w:kern w:val="0"/>
                <w:szCs w:val="21"/>
                <w:highlight w:val="none"/>
              </w:rPr>
            </w:pPr>
            <w:r>
              <w:rPr>
                <w:rFonts w:hint="eastAsia" w:ascii="宋体" w:hAnsi="宋体" w:cs="宋体"/>
                <w:kern w:val="0"/>
                <w:szCs w:val="21"/>
                <w:highlight w:val="none"/>
              </w:rPr>
              <w:t>按规定时间、路线巡回检查，多看、多听、多闻、多问，排除各种不安全因素；发现疑点应追查原因，同时通知上级及甲方。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3</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kern w:val="0"/>
                <w:szCs w:val="21"/>
                <w:highlight w:val="none"/>
              </w:rPr>
            </w:pPr>
            <w:r>
              <w:rPr>
                <w:rFonts w:hint="eastAsia" w:ascii="宋体" w:hAnsi="宋体" w:cs="宋体"/>
                <w:kern w:val="0"/>
                <w:szCs w:val="21"/>
                <w:highlight w:val="none"/>
              </w:rPr>
              <w:t>巡查中发现异常情况，应立即通知上级，并在现场采取必要措施，随时准备启动相应的应急预案，并第一时间通知甲方或政府有关部门。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4</w:t>
            </w:r>
          </w:p>
        </w:tc>
        <w:tc>
          <w:tcPr>
            <w:tcW w:w="8459" w:type="dxa"/>
            <w:tcBorders>
              <w:tl2br w:val="nil"/>
              <w:tr2bl w:val="nil"/>
            </w:tcBorders>
            <w:vAlign w:val="center"/>
          </w:tcPr>
          <w:p>
            <w:pPr>
              <w:shd w:val="clear"/>
              <w:spacing w:line="276" w:lineRule="auto"/>
              <w:rPr>
                <w:rFonts w:ascii="宋体" w:hAnsi="宋体" w:cs="宋体"/>
                <w:kern w:val="0"/>
                <w:szCs w:val="21"/>
                <w:highlight w:val="none"/>
              </w:rPr>
            </w:pPr>
            <w:r>
              <w:rPr>
                <w:rFonts w:hint="eastAsia" w:ascii="宋体" w:hAnsi="宋体" w:cs="宋体"/>
                <w:kern w:val="0"/>
                <w:szCs w:val="21"/>
                <w:highlight w:val="none"/>
              </w:rPr>
              <w:t>收到中央监控室发出指令后，巡逻人员应及时到达，并采取相应措施。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5</w:t>
            </w:r>
          </w:p>
        </w:tc>
        <w:tc>
          <w:tcPr>
            <w:tcW w:w="8459" w:type="dxa"/>
            <w:tcBorders>
              <w:tl2br w:val="nil"/>
              <w:tr2bl w:val="nil"/>
            </w:tcBorders>
            <w:vAlign w:val="center"/>
          </w:tcPr>
          <w:p>
            <w:pPr>
              <w:shd w:val="clear"/>
              <w:spacing w:line="276" w:lineRule="auto"/>
              <w:rPr>
                <w:rFonts w:ascii="宋体" w:hAnsi="宋体" w:cs="宋体"/>
                <w:kern w:val="0"/>
                <w:szCs w:val="21"/>
                <w:highlight w:val="none"/>
              </w:rPr>
            </w:pPr>
            <w:r>
              <w:rPr>
                <w:rFonts w:hint="eastAsia" w:ascii="宋体" w:hAnsi="宋体" w:cs="宋体"/>
                <w:kern w:val="0"/>
                <w:szCs w:val="21"/>
                <w:highlight w:val="none"/>
              </w:rPr>
              <w:t>对物业管理区域内设置的消火栓（箱）、窨井盖、安全警示标志等涉及公共安全的设施进行巡查，发现缺失、损坏或不能正常使用等情况，应及时报告并记录。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b/>
                <w:kern w:val="0"/>
                <w:szCs w:val="21"/>
                <w:highlight w:val="none"/>
              </w:rPr>
            </w:pPr>
            <w:r>
              <w:rPr>
                <w:rFonts w:hint="eastAsia" w:ascii="宋体" w:hAnsi="宋体" w:cs="宋体"/>
                <w:b/>
                <w:kern w:val="0"/>
                <w:szCs w:val="21"/>
                <w:highlight w:val="none"/>
              </w:rPr>
              <w:t>C</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rPr>
                <w:rFonts w:ascii="宋体" w:hAnsi="宋体" w:cs="宋体"/>
                <w:b/>
                <w:kern w:val="0"/>
                <w:szCs w:val="21"/>
                <w:highlight w:val="none"/>
              </w:rPr>
            </w:pPr>
            <w:r>
              <w:rPr>
                <w:rFonts w:hint="eastAsia" w:ascii="宋体" w:hAnsi="宋体" w:cs="宋体"/>
                <w:b/>
                <w:kern w:val="0"/>
                <w:szCs w:val="21"/>
                <w:highlight w:val="none"/>
              </w:rPr>
              <w:t>监控管理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1</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kern w:val="0"/>
                <w:szCs w:val="21"/>
                <w:highlight w:val="none"/>
              </w:rPr>
            </w:pPr>
            <w:r>
              <w:rPr>
                <w:rFonts w:hint="eastAsia" w:ascii="宋体" w:hAnsi="宋体" w:cs="宋体"/>
                <w:kern w:val="0"/>
                <w:szCs w:val="21"/>
                <w:highlight w:val="none"/>
              </w:rPr>
              <w:t>负责配备24小时安防固话，监控中心设施应24小时开通，保证对安全出入口、内部重点区域的安全监控，保持完整的监控记录。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2</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kern w:val="0"/>
                <w:szCs w:val="21"/>
                <w:highlight w:val="none"/>
              </w:rPr>
            </w:pPr>
            <w:r>
              <w:rPr>
                <w:rFonts w:hint="eastAsia" w:ascii="宋体" w:hAnsi="宋体" w:cs="宋体"/>
                <w:kern w:val="0"/>
                <w:szCs w:val="21"/>
                <w:highlight w:val="none"/>
              </w:rPr>
              <w:t>监控中心收到火情、险情及其他异常情况报警信号后，应第一时间确认是否发生火灾并及时报警，并通知相关人员及时直到现场进行处理。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3</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kern w:val="0"/>
                <w:szCs w:val="21"/>
                <w:highlight w:val="none"/>
              </w:rPr>
            </w:pPr>
            <w:r>
              <w:rPr>
                <w:rFonts w:hint="eastAsia" w:ascii="宋体" w:hAnsi="宋体" w:cs="宋体"/>
                <w:kern w:val="0"/>
                <w:szCs w:val="21"/>
                <w:highlight w:val="none"/>
              </w:rPr>
              <w:t>监控的录入资料应至少保持30天，有特殊要求的参照相关规定或行业标准执行。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4</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kern w:val="0"/>
                <w:szCs w:val="21"/>
                <w:highlight w:val="none"/>
              </w:rPr>
            </w:pPr>
            <w:r>
              <w:rPr>
                <w:rFonts w:hint="eastAsia" w:ascii="宋体" w:hAnsi="宋体" w:cs="宋体"/>
                <w:kern w:val="0"/>
                <w:szCs w:val="21"/>
                <w:highlight w:val="none"/>
              </w:rPr>
              <w:t>治安电话畅通，接听及时，记录资料详尽。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5</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kern w:val="0"/>
                <w:szCs w:val="21"/>
                <w:highlight w:val="none"/>
              </w:rPr>
            </w:pPr>
            <w:r>
              <w:rPr>
                <w:rFonts w:hint="eastAsia" w:ascii="宋体" w:hAnsi="宋体" w:cs="宋体"/>
                <w:kern w:val="0"/>
                <w:szCs w:val="21"/>
                <w:highlight w:val="none"/>
              </w:rPr>
              <w:t>闭路监控画面清晰、视角合理，大堂、电梯、人行路口监控画面能够识别进出人员面孔；晚间光线充足或有红外补光。监控画面完好率100%。监控岗对关键镜头进行24小时实时监控，遮蔽镜头3分钟，控制中心监控岗能及时发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shd w:val="clear"/>
              <w:tabs>
                <w:tab w:val="left" w:pos="0"/>
              </w:tabs>
              <w:autoSpaceDE w:val="0"/>
              <w:autoSpaceDN w:val="0"/>
              <w:adjustRightInd w:val="0"/>
              <w:snapToGrid w:val="0"/>
              <w:spacing w:line="276" w:lineRule="auto"/>
              <w:jc w:val="center"/>
              <w:rPr>
                <w:rFonts w:ascii="宋体" w:hAnsi="宋体" w:cs="宋体"/>
                <w:kern w:val="0"/>
                <w:szCs w:val="21"/>
                <w:highlight w:val="none"/>
              </w:rPr>
            </w:pPr>
            <w:r>
              <w:rPr>
                <w:rFonts w:hint="eastAsia" w:ascii="宋体" w:hAnsi="宋体" w:cs="宋体"/>
                <w:kern w:val="0"/>
                <w:szCs w:val="21"/>
                <w:highlight w:val="none"/>
              </w:rPr>
              <w:t>6</w:t>
            </w:r>
          </w:p>
        </w:tc>
        <w:tc>
          <w:tcPr>
            <w:tcW w:w="8459" w:type="dxa"/>
            <w:tcBorders>
              <w:tl2br w:val="nil"/>
              <w:tr2bl w:val="nil"/>
            </w:tcBorders>
            <w:vAlign w:val="center"/>
          </w:tcPr>
          <w:p>
            <w:pPr>
              <w:shd w:val="clear"/>
              <w:tabs>
                <w:tab w:val="left" w:pos="0"/>
              </w:tabs>
              <w:autoSpaceDE w:val="0"/>
              <w:autoSpaceDN w:val="0"/>
              <w:adjustRightInd w:val="0"/>
              <w:snapToGrid w:val="0"/>
              <w:spacing w:line="276" w:lineRule="auto"/>
              <w:jc w:val="left"/>
              <w:rPr>
                <w:rFonts w:ascii="宋体" w:hAnsi="宋体" w:cs="宋体"/>
                <w:kern w:val="0"/>
                <w:szCs w:val="21"/>
                <w:highlight w:val="none"/>
              </w:rPr>
            </w:pPr>
            <w:r>
              <w:rPr>
                <w:rFonts w:hint="eastAsia" w:ascii="宋体" w:hAnsi="宋体" w:cs="宋体"/>
                <w:kern w:val="0"/>
                <w:szCs w:val="21"/>
                <w:highlight w:val="none"/>
              </w:rPr>
              <w:t>制订完善的监控查阅管理制度。对进出监控中心进行登记。查阅监控录像，必须经甲方审批同意；非甲方审批同意或执法机关办案需要，不能提供录像拷贝。</w:t>
            </w:r>
          </w:p>
        </w:tc>
      </w:tr>
    </w:tbl>
    <w:p>
      <w:pPr>
        <w:numPr>
          <w:ilvl w:val="0"/>
          <w:numId w:val="95"/>
        </w:numPr>
        <w:shd w:val="clear"/>
        <w:adjustRightInd w:val="0"/>
        <w:snapToGrid w:val="0"/>
        <w:spacing w:line="360" w:lineRule="auto"/>
        <w:ind w:firstLine="0"/>
        <w:rPr>
          <w:rFonts w:ascii="宋体" w:hAnsi="宋体" w:cs="宋体"/>
          <w:b/>
          <w:kern w:val="0"/>
          <w:szCs w:val="21"/>
          <w:highlight w:val="none"/>
        </w:rPr>
      </w:pPr>
      <w:r>
        <w:rPr>
          <w:rFonts w:hint="eastAsia" w:ascii="宋体" w:hAnsi="宋体" w:cs="宋体"/>
          <w:b/>
          <w:kern w:val="0"/>
          <w:szCs w:val="21"/>
          <w:highlight w:val="none"/>
        </w:rPr>
        <w:t>消防管理</w:t>
      </w:r>
    </w:p>
    <w:p>
      <w:pPr>
        <w:numPr>
          <w:ilvl w:val="0"/>
          <w:numId w:val="9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建立健全消防管理制度，建立消防责任制；</w:t>
      </w:r>
    </w:p>
    <w:p>
      <w:pPr>
        <w:numPr>
          <w:ilvl w:val="0"/>
          <w:numId w:val="9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全天24小时消防值班，24小时消防主机监管；工作人员按照《中华人民共和国消防法》及相关法律法规持证上岗，每班不少于2人；</w:t>
      </w:r>
    </w:p>
    <w:p>
      <w:pPr>
        <w:numPr>
          <w:ilvl w:val="0"/>
          <w:numId w:val="9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建立义务消防队伍，出现消防事故应有人到达现场，进行必要的扑救；</w:t>
      </w:r>
    </w:p>
    <w:p>
      <w:pPr>
        <w:numPr>
          <w:ilvl w:val="0"/>
          <w:numId w:val="9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负责园区内的全部消防设施、设备的使用和管理及大楼火灾的报警和救助工作，并制定完善的消防应急方案；</w:t>
      </w:r>
    </w:p>
    <w:p>
      <w:pPr>
        <w:numPr>
          <w:ilvl w:val="0"/>
          <w:numId w:val="9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认真贯彻“安全第一，预防为主”的方针，建立消防组织机构、职责、规章制度和工作程序，落实各级消防责任人。全面熟练掌握消防报警、干式灭火（气体）、湿式灭火（喷淋）、防排烟及消防栓五个系统的作用、位置和操作方法；</w:t>
      </w:r>
    </w:p>
    <w:p>
      <w:pPr>
        <w:numPr>
          <w:ilvl w:val="0"/>
          <w:numId w:val="9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负责对消防设备和设施的维修保养，进行全面检查，确保消防设备和设施随时处于正常工作状态。负责办公区域和公共区域配装的各种灭火器材、防毒面具、烟感、喷淋设施以及楼梯、走道和出口的安全疏散提示、应急照明、通风设施等日常检查、维修；</w:t>
      </w:r>
    </w:p>
    <w:p>
      <w:pPr>
        <w:numPr>
          <w:ilvl w:val="0"/>
          <w:numId w:val="9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每周对园区所有的消防设备进行一次全面检查、设施巡视检查工作，并做好记录，及时整改火险隐患，监护动火和易燃易爆用品存放情况，保持消防区及楼梯走道和出口畅通；</w:t>
      </w:r>
    </w:p>
    <w:p>
      <w:pPr>
        <w:numPr>
          <w:ilvl w:val="0"/>
          <w:numId w:val="9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做好消防知识的培训和宣传，每年至少进行一次消防知识的培训和宣传，每半年至少组织一次综合消防应急演练。；</w:t>
      </w:r>
    </w:p>
    <w:p>
      <w:pPr>
        <w:numPr>
          <w:ilvl w:val="0"/>
          <w:numId w:val="9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做好其它防火灭火工作及消防配套设施的维修及保养。</w:t>
      </w:r>
    </w:p>
    <w:p>
      <w:pPr>
        <w:numPr>
          <w:ilvl w:val="0"/>
          <w:numId w:val="95"/>
        </w:numPr>
        <w:shd w:val="clear"/>
        <w:adjustRightInd w:val="0"/>
        <w:snapToGrid w:val="0"/>
        <w:spacing w:line="360" w:lineRule="auto"/>
        <w:ind w:firstLine="0"/>
        <w:rPr>
          <w:rFonts w:ascii="宋体" w:hAnsi="宋体" w:cs="宋体"/>
          <w:b/>
          <w:kern w:val="0"/>
          <w:szCs w:val="21"/>
          <w:highlight w:val="none"/>
        </w:rPr>
      </w:pPr>
      <w:r>
        <w:rPr>
          <w:rFonts w:hint="eastAsia" w:ascii="宋体" w:hAnsi="宋体" w:cs="宋体"/>
          <w:b/>
          <w:kern w:val="0"/>
          <w:szCs w:val="21"/>
          <w:highlight w:val="none"/>
        </w:rPr>
        <w:t>应急管理</w:t>
      </w:r>
    </w:p>
    <w:p>
      <w:pPr>
        <w:numPr>
          <w:ilvl w:val="0"/>
          <w:numId w:val="99"/>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根据甲方的实际情况和要求，制订并严格执行突发性公共事件应急预案，每年按照相关法律法规完成应急演练，组织消防应急演练不少于2次，电梯安全应急演练不少于1次，突发事件应急演练不少于1次；</w:t>
      </w:r>
    </w:p>
    <w:p>
      <w:pPr>
        <w:numPr>
          <w:ilvl w:val="0"/>
          <w:numId w:val="99"/>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当发生突发性事件时，应按预定方案进行处理，全力配合有关部门，保护人身安全并尽量减少财产损失；</w:t>
      </w:r>
    </w:p>
    <w:p>
      <w:pPr>
        <w:numPr>
          <w:ilvl w:val="0"/>
          <w:numId w:val="99"/>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发生突发事件时，所在区域内的当班人员应在3分钟内赶到现场，到场后能准确判断情况，有效控制局面，并采取必要的隔离行动；监控中心指挥得当；如需协助，救援人员应规定的时间内赶到现场，合理布控；赶到现场人员须携带与事发性质相对应的应急工具；</w:t>
      </w:r>
    </w:p>
    <w:p>
      <w:pPr>
        <w:numPr>
          <w:ilvl w:val="0"/>
          <w:numId w:val="99"/>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遇暴雨或其他灾害性天气，应采取以下应急措施：①对设备机房、停车场、广告牌等露天设施的抗强风能力进行检查和加固②对集水井泵运转情况进行检查，保证正常排涝③对排水系统进行检查疏通清除杂物，确保排水通畅④及时准备必要的抢险物资，安排值班人员进行巡查。</w:t>
      </w:r>
    </w:p>
    <w:p>
      <w:pPr>
        <w:numPr>
          <w:ilvl w:val="0"/>
          <w:numId w:val="95"/>
        </w:numPr>
        <w:shd w:val="clear"/>
        <w:adjustRightInd w:val="0"/>
        <w:snapToGrid w:val="0"/>
        <w:spacing w:line="360" w:lineRule="auto"/>
        <w:ind w:firstLine="0"/>
        <w:rPr>
          <w:rFonts w:ascii="宋体" w:hAnsi="宋体" w:cs="宋体"/>
          <w:b/>
          <w:kern w:val="0"/>
          <w:szCs w:val="21"/>
          <w:highlight w:val="none"/>
        </w:rPr>
      </w:pPr>
      <w:r>
        <w:rPr>
          <w:rFonts w:hint="eastAsia" w:ascii="宋体" w:hAnsi="宋体" w:cs="宋体"/>
          <w:b/>
          <w:kern w:val="0"/>
          <w:szCs w:val="21"/>
          <w:highlight w:val="none"/>
        </w:rPr>
        <w:t>装修管理</w:t>
      </w:r>
    </w:p>
    <w:p>
      <w:pPr>
        <w:numPr>
          <w:ilvl w:val="0"/>
          <w:numId w:val="100"/>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严格落实装修报建相关的法规制度，根据甲方要求负责园区租户装修的方案审批、监督管理、竣工备案及档案管理工作，对需要向相关行政部门报建的，严格把控通过后方可施工。</w:t>
      </w:r>
    </w:p>
    <w:p>
      <w:pPr>
        <w:numPr>
          <w:ilvl w:val="0"/>
          <w:numId w:val="100"/>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建立完善的园区租户装修服务制度，包括事前告知（法律法规禁止事项）、事中制止及事后上报义务履行的措施与方法，及日常巡查范围、要求及频次等。装修前，受理企业装修申报登记，与租户、装修施工单位签订装修服务协议，对用房的装修方案进行初步审核，告知租户、装修施工单位有关装饰装修的禁止行为和注意事项，装修方案经园区同意及备案后，方可施工。</w:t>
      </w:r>
    </w:p>
    <w:p>
      <w:pPr>
        <w:numPr>
          <w:ilvl w:val="0"/>
          <w:numId w:val="100"/>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依据装修户数提前做好现场巡查人员配备及工具材料准备等工作。装修期间，每天巡查1次装修施工现场，登记工程进度。发现影响房屋外观、危及房屋结构安全及违规拆改共用管线、消防设施等行为，及时劝阻。</w:t>
      </w:r>
    </w:p>
    <w:p>
      <w:pPr>
        <w:numPr>
          <w:ilvl w:val="0"/>
          <w:numId w:val="100"/>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装修结束后，应进行检查。对违反装修服务协议的当事人应按照约定处理，问题严重的应报告主管部门。</w:t>
      </w:r>
    </w:p>
    <w:p>
      <w:pPr>
        <w:numPr>
          <w:ilvl w:val="0"/>
          <w:numId w:val="100"/>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提前对可能因装修造成损坏的共用部位（大堂、电梯厅、电梯轿厢、特殊材质地面等）采取防护措施。</w:t>
      </w:r>
    </w:p>
    <w:p>
      <w:pPr>
        <w:numPr>
          <w:ilvl w:val="0"/>
          <w:numId w:val="100"/>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与园区租户签订管理协议（如装修垃圾搬运等），明确违约责任、处理措施。或有其它的疏导、管理途径，避免强买、强卖或由此引起的投诉、经济纠纷。</w:t>
      </w:r>
    </w:p>
    <w:p>
      <w:pPr>
        <w:numPr>
          <w:ilvl w:val="0"/>
          <w:numId w:val="100"/>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指定装修垃圾存放点并设置围挡，装修垃圾袋装并及时集中清运。</w:t>
      </w:r>
    </w:p>
    <w:p>
      <w:pPr>
        <w:numPr>
          <w:ilvl w:val="0"/>
          <w:numId w:val="95"/>
        </w:numPr>
        <w:shd w:val="clear"/>
        <w:adjustRightInd w:val="0"/>
        <w:snapToGrid w:val="0"/>
        <w:spacing w:line="360" w:lineRule="auto"/>
        <w:ind w:firstLine="0"/>
        <w:rPr>
          <w:rFonts w:ascii="宋体" w:hAnsi="宋体" w:cs="宋体"/>
          <w:b/>
          <w:kern w:val="0"/>
          <w:szCs w:val="21"/>
          <w:highlight w:val="none"/>
        </w:rPr>
      </w:pPr>
      <w:r>
        <w:rPr>
          <w:rFonts w:hint="eastAsia" w:ascii="宋体" w:hAnsi="宋体" w:cs="宋体"/>
          <w:b/>
          <w:kern w:val="0"/>
          <w:szCs w:val="21"/>
          <w:highlight w:val="none"/>
        </w:rPr>
        <w:t>意见管理</w:t>
      </w:r>
    </w:p>
    <w:p>
      <w:pPr>
        <w:numPr>
          <w:ilvl w:val="0"/>
          <w:numId w:val="101"/>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设有服务接待中心，公示24小时服务电话；</w:t>
      </w:r>
    </w:p>
    <w:p>
      <w:pPr>
        <w:numPr>
          <w:ilvl w:val="0"/>
          <w:numId w:val="101"/>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每年至少1次征询租户对物业服务的意见；</w:t>
      </w:r>
    </w:p>
    <w:p>
      <w:pPr>
        <w:numPr>
          <w:ilvl w:val="0"/>
          <w:numId w:val="101"/>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建立客户投诉意见处理程序，明确处理流程、处理时效、各层级职责、监督与回访等要求并有效落实；</w:t>
      </w:r>
    </w:p>
    <w:p>
      <w:pPr>
        <w:numPr>
          <w:ilvl w:val="0"/>
          <w:numId w:val="101"/>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建立24小时电话接听制度，24小时受理客户报修、求助、投诉等；</w:t>
      </w:r>
    </w:p>
    <w:p>
      <w:pPr>
        <w:numPr>
          <w:ilvl w:val="0"/>
          <w:numId w:val="101"/>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安排专人负责客户投诉处理，对于物业服务相关的投诉及时跟进处理；</w:t>
      </w:r>
    </w:p>
    <w:p>
      <w:pPr>
        <w:numPr>
          <w:ilvl w:val="0"/>
          <w:numId w:val="101"/>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项目现场受理的投诉，应及时作好记录，并根据投诉类别通知责任岗位处理；重大、热点投诉应及时填写相关记录发予送甲方；</w:t>
      </w:r>
    </w:p>
    <w:p>
      <w:pPr>
        <w:numPr>
          <w:ilvl w:val="0"/>
          <w:numId w:val="101"/>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网络投诉须在投诉产生或收到转发后24小时内回复；其他形式的投诉均须在投诉产生或收到转发后1个工作日内回复；</w:t>
      </w:r>
    </w:p>
    <w:p>
      <w:pPr>
        <w:numPr>
          <w:ilvl w:val="0"/>
          <w:numId w:val="101"/>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对于共性的、涉及公共部位和公共利益的投诉，每月整理汇总处理措施和结果，由</w:t>
      </w:r>
      <w:r>
        <w:rPr>
          <w:rFonts w:hint="eastAsia" w:hAnsi="宋体" w:cs="宋体"/>
          <w:kern w:val="0"/>
          <w:szCs w:val="21"/>
          <w:highlight w:val="none"/>
        </w:rPr>
        <w:t>甲方</w:t>
      </w:r>
      <w:r>
        <w:rPr>
          <w:rFonts w:hint="eastAsia" w:ascii="宋体" w:hAnsi="宋体" w:cs="宋体"/>
          <w:kern w:val="0"/>
          <w:szCs w:val="21"/>
          <w:highlight w:val="none"/>
        </w:rPr>
        <w:t>确定是否公示、公示张贴区域范围等；</w:t>
      </w:r>
    </w:p>
    <w:p>
      <w:pPr>
        <w:numPr>
          <w:ilvl w:val="0"/>
          <w:numId w:val="101"/>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投诉处理过程中保持与客户沟通，投诉处理进度、处理情况应三天一次及时向投诉客户反馈；</w:t>
      </w:r>
    </w:p>
    <w:p>
      <w:pPr>
        <w:numPr>
          <w:ilvl w:val="0"/>
          <w:numId w:val="101"/>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所有投诉均须有完整的处理记录，并建档保存；重大、热点投诉处理完毕后应形成专项报告，单独立卷保存；</w:t>
      </w:r>
    </w:p>
    <w:p>
      <w:pPr>
        <w:numPr>
          <w:ilvl w:val="0"/>
          <w:numId w:val="101"/>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所有投诉处理完毕后，应进行100%回访；</w:t>
      </w:r>
    </w:p>
    <w:p>
      <w:pPr>
        <w:numPr>
          <w:ilvl w:val="0"/>
          <w:numId w:val="101"/>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向公安机关报案的投诉，应协助公安部门处理；</w:t>
      </w:r>
    </w:p>
    <w:p>
      <w:pPr>
        <w:numPr>
          <w:ilvl w:val="0"/>
          <w:numId w:val="101"/>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涉及依法裁决的投诉，按法律程序处理。</w:t>
      </w:r>
    </w:p>
    <w:p>
      <w:pPr>
        <w:numPr>
          <w:ilvl w:val="0"/>
          <w:numId w:val="95"/>
        </w:numPr>
        <w:shd w:val="clear"/>
        <w:adjustRightInd w:val="0"/>
        <w:snapToGrid w:val="0"/>
        <w:spacing w:line="360" w:lineRule="auto"/>
        <w:ind w:firstLine="0"/>
        <w:rPr>
          <w:rFonts w:ascii="宋体" w:hAnsi="宋体" w:cs="宋体"/>
          <w:b/>
          <w:kern w:val="0"/>
          <w:szCs w:val="21"/>
          <w:highlight w:val="none"/>
        </w:rPr>
      </w:pPr>
      <w:r>
        <w:rPr>
          <w:rFonts w:hint="eastAsia" w:ascii="宋体" w:hAnsi="宋体" w:cs="宋体"/>
          <w:b/>
          <w:kern w:val="0"/>
          <w:szCs w:val="21"/>
          <w:highlight w:val="none"/>
        </w:rPr>
        <w:t>设备、设施管理及维护服务</w:t>
      </w:r>
    </w:p>
    <w:p>
      <w:pPr>
        <w:numPr>
          <w:ilvl w:val="0"/>
          <w:numId w:val="102"/>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负责园区所有土建、机电设备、给排水、外装饰及周边附属建筑物的管理、维护和保养；</w:t>
      </w:r>
    </w:p>
    <w:p>
      <w:pPr>
        <w:numPr>
          <w:ilvl w:val="0"/>
          <w:numId w:val="102"/>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日常巡检发现问题应立即处理，有完整的报修、维修记录；小修工作应在1天内完成。相关法律规范或机电设备原有维护标准有特殊要求的，从其执行，但各机电设备设施管理的标准不低于国家、政府部门有关规定要求。无列明维护管理标准要求的，按相类似设备要求执行；</w:t>
      </w:r>
    </w:p>
    <w:p>
      <w:pPr>
        <w:numPr>
          <w:ilvl w:val="0"/>
          <w:numId w:val="102"/>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每月制定次月机电设备设施工作计划、主要工作情况，内容包括但不限于各机电设备设施的维护管理工作内容、工作人员排班等，汇编至物业月度报告（有相应的摄像照片记录）；</w:t>
      </w:r>
    </w:p>
    <w:p>
      <w:pPr>
        <w:numPr>
          <w:ilvl w:val="0"/>
          <w:numId w:val="102"/>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设备设施标志、标牌齐全，墙面悬挂“操作、维修作业指导书”及必要的“应急处理预案”。设备房保证24小时有值班人员进行维护。无人值守的设备房上锁管理，控制中心留存所有设备房的钥匙；</w:t>
      </w:r>
    </w:p>
    <w:p>
      <w:pPr>
        <w:numPr>
          <w:ilvl w:val="0"/>
          <w:numId w:val="102"/>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设备房地面应平坦、干燥、防滑，墙面应平整、整洁，无积尘，设备表面无油污；设备房中重要设备上端有排污管等设施时，应在该设备上方加装喇叭口、挡板等设施。天台或地下设备房内的控制室入口处应有防止水浸的措施。设置集水底坑的设备房，应保持排水通畅；</w:t>
      </w:r>
    </w:p>
    <w:p>
      <w:pPr>
        <w:numPr>
          <w:ilvl w:val="0"/>
          <w:numId w:val="102"/>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相关工作要求如下：</w:t>
      </w:r>
    </w:p>
    <w:tbl>
      <w:tblPr>
        <w:tblStyle w:val="22"/>
        <w:tblW w:w="9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8"/>
        <w:gridCol w:w="8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A</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b/>
                <w:kern w:val="0"/>
                <w:szCs w:val="21"/>
                <w:highlight w:val="none"/>
              </w:rPr>
            </w:pPr>
            <w:r>
              <w:rPr>
                <w:rFonts w:hint="eastAsia" w:ascii="宋体" w:hAnsi="宋体" w:cs="宋体"/>
                <w:b/>
                <w:kern w:val="0"/>
                <w:szCs w:val="21"/>
                <w:highlight w:val="none"/>
              </w:rPr>
              <w:t>变配电系统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按时规定周期对变配电设施进行检查维护、清洁，并做好记录。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高低压配电柜运行正常、操作灵活，仪表显示准确。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变压器运行正常，通风降温设备可靠，温度显示准确。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制定突发事件应急处理程序和临时用电管理 措施，明确停、送审批权限，停、送电按规定提前通知租户。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5</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制定变本电室人员出入管理制度，配电室实行封闭管理，无鼠洞，配备符合要求的灭火器材。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6</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高压防护用具、验电器按规定每半年检定1次，计量器具、检测仪表按规定周期送计检局检定。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7</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自备电房贴、挂安全操作程序及应急管理制度。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8</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设备责任人每日对供配电系统进行2次巡视检查并记录相关运行参数。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9</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负责选聘有资质单位对高压部分（变压器之前的部分，含变压器）做好维护检修并支付相关费用；负责选聘具备相关资质的专业人员对低压部分（变压器之后的部分）做好维护检修。（配备4个电房，分别为1号1000kVA，2号1000kVA,3号2000kVA,4号2*1250kVA，外部双回路供电至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B</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b/>
                <w:kern w:val="0"/>
                <w:szCs w:val="21"/>
                <w:highlight w:val="none"/>
              </w:rPr>
            </w:pPr>
            <w:r>
              <w:rPr>
                <w:rFonts w:hint="eastAsia" w:ascii="宋体" w:hAnsi="宋体" w:cs="宋体"/>
                <w:b/>
                <w:kern w:val="0"/>
                <w:szCs w:val="21"/>
                <w:highlight w:val="none"/>
              </w:rPr>
              <w:t>给排水系统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每天检查1次生活泵、气压罐、排污泵、水池水箱、管道阀门，检查公共卫生间、开水房、管道井内的上下水管道、阀门、减压阀，集水坑、污水坑、室内外排水沟渠（井）。设备运行正常，压力符合要求，仪表指示准确，无跑、冒、滴、漏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生活水泵、管道、阀门定期进行维护保养；集水坑、污水坑、化粪池、室内外排水沟渠（井）定期检查，视实际情况进行疏通清淘；排水畅通无堵塞。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生活水箱（池）检修口封闭、加锁，通气口需设隔离网，环境卫生，无污染物。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8659" w:type="dxa"/>
            <w:tcBorders>
              <w:tl2br w:val="nil"/>
              <w:tr2bl w:val="nil"/>
            </w:tcBorders>
            <w:vAlign w:val="center"/>
          </w:tcPr>
          <w:p>
            <w:pPr>
              <w:shd w:val="clear"/>
              <w:tabs>
                <w:tab w:val="left" w:pos="0"/>
                <w:tab w:val="left" w:pos="1575"/>
              </w:tabs>
              <w:autoSpaceDE w:val="0"/>
              <w:autoSpaceDN w:val="0"/>
              <w:adjustRightInd w:val="0"/>
              <w:snapToGrid w:val="0"/>
              <w:jc w:val="left"/>
              <w:rPr>
                <w:rFonts w:ascii="宋体" w:hAnsi="宋体" w:cs="宋体"/>
                <w:kern w:val="0"/>
                <w:szCs w:val="21"/>
                <w:highlight w:val="none"/>
              </w:rPr>
            </w:pPr>
            <w:r>
              <w:rPr>
                <w:rFonts w:hint="eastAsia" w:ascii="宋体" w:hAnsi="宋体" w:cs="宋体"/>
                <w:kern w:val="0"/>
                <w:szCs w:val="21"/>
                <w:highlight w:val="none"/>
              </w:rPr>
              <w:t>落实停水、爆管等应急处理程序，计划停水按规定提前通知园区租户。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C</w:t>
            </w:r>
          </w:p>
        </w:tc>
        <w:tc>
          <w:tcPr>
            <w:tcW w:w="8659" w:type="dxa"/>
            <w:tcBorders>
              <w:tl2br w:val="nil"/>
              <w:tr2bl w:val="nil"/>
            </w:tcBorders>
            <w:vAlign w:val="center"/>
          </w:tcPr>
          <w:p>
            <w:pPr>
              <w:shd w:val="clear"/>
              <w:tabs>
                <w:tab w:val="left" w:pos="0"/>
              </w:tabs>
              <w:autoSpaceDE w:val="0"/>
              <w:autoSpaceDN w:val="0"/>
              <w:adjustRightInd w:val="0"/>
              <w:snapToGrid w:val="0"/>
              <w:jc w:val="left"/>
              <w:rPr>
                <w:rFonts w:ascii="宋体" w:hAnsi="宋体" w:cs="宋体"/>
                <w:b/>
                <w:kern w:val="0"/>
                <w:szCs w:val="21"/>
                <w:highlight w:val="none"/>
              </w:rPr>
            </w:pPr>
            <w:r>
              <w:rPr>
                <w:rFonts w:hint="eastAsia" w:ascii="宋体" w:hAnsi="宋体" w:cs="宋体"/>
                <w:b/>
                <w:kern w:val="0"/>
                <w:szCs w:val="21"/>
                <w:highlight w:val="none"/>
              </w:rPr>
              <w:t xml:space="preserve">空调系统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负责园区公共部分及甲方办公用房空调的维保、维修、清洗（约50台），进行园区公共区域空调系统的日常维护、保养进行监管，保证园区公共区域、自有空调的运行。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设备工作正常、安全装置有效。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运行期间每日巡视1次空调系统，保证室内温度符合相关规定。检查设备运行状态及参数。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每月检查空调主机，测试运行控制和安全控制功能，分析运行数据，对能源消耗进行统计、分析。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5</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定期对空调系统电源柜、控制柜进行检查、紧固螺栓、测试绝缘，保证系统的用电安全。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6</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管道、阀门无锈蚀，保温层完好，无跑、冒、滴、漏现象；每1年至少除锈漆刷漆1次。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7</w:t>
            </w:r>
          </w:p>
        </w:tc>
        <w:tc>
          <w:tcPr>
            <w:tcW w:w="8659" w:type="dxa"/>
            <w:tcBorders>
              <w:tl2br w:val="nil"/>
              <w:tr2bl w:val="nil"/>
            </w:tcBorders>
            <w:vAlign w:val="center"/>
          </w:tcPr>
          <w:p>
            <w:pPr>
              <w:shd w:val="clear"/>
              <w:tabs>
                <w:tab w:val="left" w:pos="3075"/>
              </w:tabs>
              <w:rPr>
                <w:rFonts w:ascii="宋体" w:hAnsi="宋体" w:cs="宋体"/>
                <w:kern w:val="0"/>
                <w:szCs w:val="21"/>
                <w:highlight w:val="none"/>
              </w:rPr>
            </w:pPr>
            <w:r>
              <w:rPr>
                <w:rFonts w:hint="eastAsia" w:ascii="宋体" w:hAnsi="宋体" w:cs="宋体"/>
                <w:kern w:val="0"/>
                <w:szCs w:val="21"/>
                <w:highlight w:val="none"/>
              </w:rPr>
              <w:t>根据实际情况进行风管系统清洗，保证空气质量。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8</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科学合理开、关中央空调，保障冷气正常供应使用。按国家相关要求严格控制温度范围，夏季室内温度 22-26℃，做好节能工作。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9</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空调设备发生故障时，维保技术人员应在30分钟内到达现场抢修，一般故障在4小时内修复；如压缩机或电路板等其他特殊的大故障，则应在48小时内修复。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10</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每年对空调系统进行1次整体清洗、维修养护。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D</w:t>
            </w:r>
          </w:p>
        </w:tc>
        <w:tc>
          <w:tcPr>
            <w:tcW w:w="8659" w:type="dxa"/>
            <w:tcBorders>
              <w:tl2br w:val="nil"/>
              <w:tr2bl w:val="nil"/>
            </w:tcBorders>
            <w:vAlign w:val="center"/>
          </w:tcPr>
          <w:p>
            <w:pPr>
              <w:shd w:val="clear"/>
              <w:rPr>
                <w:rFonts w:ascii="宋体" w:hAnsi="宋体" w:cs="宋体"/>
                <w:b/>
                <w:kern w:val="0"/>
                <w:szCs w:val="21"/>
                <w:highlight w:val="none"/>
              </w:rPr>
            </w:pPr>
            <w:r>
              <w:rPr>
                <w:rFonts w:hint="eastAsia" w:ascii="宋体" w:hAnsi="宋体" w:cs="宋体"/>
                <w:b/>
                <w:kern w:val="0"/>
                <w:szCs w:val="21"/>
                <w:highlight w:val="none"/>
              </w:rPr>
              <w:t>电梯系统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负责选聘专业有资质的公司对电梯实行维保并支付相关费用（合共8台电梯，两层、六层、八层各1台， 五层2台，三层3台），对电梯维保公司进行监管，负责办理电梯年审、日常维修保养（含电梯机房、空调等与电梯相关的附属设备设施）、测试调试工作。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电梯运行平衡、乘坐舒适、平层准确，轿厢照明、内外扶梯按钮完好，楼层显示正常，轿厢内整洁无污染。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根据温度开启轿厢风扇。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警铃或其他救助设备功能完备，称重装备可靠，安全装备有效无缺损，电梯运行无异常。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5</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设专职人员对电梯维护保养进行监督，对电梯运行进行管理，并按技术要求做好日常运行巡检记录。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6</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电梯发生一般性故障，专业维修保养人员应在1小时内到达现场维修；发生电梯困人或其他重大事件时物业管理专职人员应及时应急处理，专业维修保养人员应在 15 分钟内到达现场进行抢修。电梯困人故障解除后，应对被困人员进行善后解释和安抚工作。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7</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电梯机房实行封闭管理，机房内温度不超过设备安全运行环境温度，配备应急照明、灭器和盘车工具齐全，并挂于显眼方便处。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8</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轿箱内张贴有效期内电梯年检合格证、电梯保险标识、24小时值班工作人员电话（具体电梯救援资格），紧急对讲使用方便可靠，有相应标识；按钮面板整洁，字迹清晰。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9</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电梯维修保养合同完备（包括要求约定年度、季度、月度检修、维护保养计划、电梯年检合格、紧急救援时间），对供方的工作及人员有有效的监督管理制度。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10</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整体电梯系统设备设施每天不少于一次巡查记录。乙方应聘请具有相应资质的专业公司对电梯进行周期性检查维护，并对电梯进行半月、季度、半年、年度维保。维保的执行细则和电梯技术参数应符合相关技术规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有关维修保养计划须报园区备案。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E</w:t>
            </w:r>
          </w:p>
        </w:tc>
        <w:tc>
          <w:tcPr>
            <w:tcW w:w="8659" w:type="dxa"/>
            <w:tcBorders>
              <w:tl2br w:val="nil"/>
              <w:tr2bl w:val="nil"/>
            </w:tcBorders>
            <w:vAlign w:val="center"/>
          </w:tcPr>
          <w:p>
            <w:pPr>
              <w:shd w:val="clear"/>
              <w:rPr>
                <w:rFonts w:ascii="宋体" w:hAnsi="宋体" w:cs="宋体"/>
                <w:b/>
                <w:kern w:val="0"/>
                <w:szCs w:val="21"/>
                <w:highlight w:val="none"/>
              </w:rPr>
            </w:pPr>
            <w:r>
              <w:rPr>
                <w:rFonts w:hint="eastAsia" w:ascii="宋体" w:hAnsi="宋体" w:cs="宋体"/>
                <w:b/>
                <w:kern w:val="0"/>
                <w:szCs w:val="21"/>
                <w:highlight w:val="none"/>
              </w:rPr>
              <w:t>消防系统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负责选聘专业有资质符合法律法规规定的公司对消防系统进行维保并支付相关费用，对消防维保公司进行监管，协调进行消防系统的日常维护、检查、维修等工作；负责选聘消防自动报警远程监控系统联网检测服务单位并支付相关费用（远程自动报警探头约2000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当被检测探测器响应参数达到预定值时，探测器应输出火警信号，同时启动探测器的确认灯。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操作启动部件，手动火灾报警按钮应能输出火警信号，报警按钮应当有动作显示。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火灾时应能将火灾疏散层的扬声器和广播背景音响系统强制转入火灾应急广播状态，并控制在选定的楼层内。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5</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报警功能：能正常接收来自火灾探测器及其他报警触发器件的火灾报警信号，发出声光信号。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6</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故障报警：当控制器和火灾探测器、控制器和传输火灾报警信号作用的部件发生故障时，应当正确指出故障部位。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7</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火警优先功能：显示预报警和故障信号时，如有火灾报警信号输入，应当立即显示火灾报警信号；显示故障信号时，如有预报警信号输入，应当显示预报警信号。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8</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电源转换功能：主电源切断时，备用电源应当能自动投入运行；当主电源恢复时能从备用电源自动转入主电源状态。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9</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消防对讲电话应语音清楚无干扰。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10</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火灾确认后：消防电梯联动迫降后可进行人工操作，其功能、信号应当正常；控制相应部分的正压风机和排烟机启动，接受其反馈信号并显示其状态；发出控制信号，将着火层防烟风阀、排烟阀打开，接受其反馈信号并显示其状态；控制室应能控制有关部分的防火卷帘门按规定程序下降，接受其反馈信号并显示其状态；应当释放所有门禁装备，保证疏散门畅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自动喷淋系统有水流动时，其水流指示器应显示、压力开关运作、水力警铃应发出报警铃声。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安全出口、疏散指示灯火灾时应维持90分钟以上的照明时间。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消防水带每半年检查1次，应无破损、发黑、发霉现象。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14</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联动控制台工作正常、显示正确，系统误报率不超过3%。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15</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消火栓每月检查1次，保持消火栓箱内配件完好。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16</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消防泵每月启动1次，每年保养1次。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17</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保证消防用水的基本储备，确保火灾险情时的应急灭火用水。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18</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维保公司工作人员需经消防培训考试合格持证上岗。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19</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消防主机除检修时间外，必需处于开机运行状态。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20</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发生一般性故障，专业维修保养人员应在12小时内到达现场维修；发生重大故障时，物业管理专职人员应及时采取相应措施应急处理，专业维修保养人员应在30分钟内到达现场进行抢修。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负责监督专业消防维保公司做好消防设备月、季、年度测试工作，按时段和设备数量比例，抽查、检测系统设备，全年覆盖所有系统设备。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配合专业消防公司制定消防设备年度保养计划，并监督完成情况。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F</w:t>
            </w:r>
          </w:p>
        </w:tc>
        <w:tc>
          <w:tcPr>
            <w:tcW w:w="8659" w:type="dxa"/>
            <w:tcBorders>
              <w:tl2br w:val="nil"/>
              <w:tr2bl w:val="nil"/>
            </w:tcBorders>
            <w:vAlign w:val="center"/>
          </w:tcPr>
          <w:p>
            <w:pPr>
              <w:shd w:val="clear"/>
              <w:rPr>
                <w:rFonts w:ascii="宋体" w:hAnsi="宋体" w:cs="宋体"/>
                <w:b/>
                <w:kern w:val="0"/>
                <w:szCs w:val="21"/>
                <w:highlight w:val="none"/>
              </w:rPr>
            </w:pPr>
            <w:r>
              <w:rPr>
                <w:rFonts w:hint="eastAsia" w:ascii="宋体" w:hAnsi="宋体" w:cs="宋体"/>
                <w:b/>
                <w:kern w:val="0"/>
                <w:szCs w:val="21"/>
                <w:highlight w:val="none"/>
              </w:rPr>
              <w:t>安全防范系统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负责对安全防范系统进行维保，协调进行安防系统的日常维护、检查、维修等工作。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系统设备时间、日期准确，摄像机编号有逻辑性。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矩阵工作正常，线路整齐，分组同步切换标识清楚。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传输线路应有良好的接地，并对干扰信号进行屏蔽，同轴电缆两端“地电压”应一致。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5</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多媒体图形工作站应直观显示各监控点位置，对报警应及时响应。录像机工作正常，显示准确、整洁。画面分割器工作正常、整洁。监视器工作正常、图像清晰、色彩良好、整洁。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6</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录入资料应保持30天以上，并应有时间、日期及摄像机编号，有特殊要求的参照相关规定。存在诉讼隐患的突发事件监控录像保存期限不少于2年。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7</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摄像机安装牢固，位置正确，工作正常、整洁，室外摄像机应注意防水、防尘、密封及散热，并应满足室外最低照度要求。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8</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相关报警装备安装牢固，灵敏可靠，及时反馈报警信息。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9</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每季度对 UPS 电源进行1次完全代载放电，并充电检测。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10</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维保工作由专职人员进行，非授权人员不得擅自更改安防设置及对主机开盖检测箱内元件。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设立监控资料调用、查阅权限，调用查阅需经授权。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每年由物业公司组织相关专业人员对安全防范系统进行1次全面检查，对安全防范方面存在的漏洞、隐患等情况进行限期整改。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项目经理夜间查岗每月不少于1次，项目安全负责人夜间查岗每周不少于1次。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14</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防火门、大堂门禁系统、自动感应门每月检查保养1次。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15</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负责小镇范围内智能化系统及其设备的正常运转，确保安全监控24小时专人看管，协助小镇运营机构管理小镇门禁系统服务、公共部分网络服务。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G</w:t>
            </w:r>
          </w:p>
        </w:tc>
        <w:tc>
          <w:tcPr>
            <w:tcW w:w="8659" w:type="dxa"/>
            <w:tcBorders>
              <w:tl2br w:val="nil"/>
              <w:tr2bl w:val="nil"/>
            </w:tcBorders>
            <w:vAlign w:val="center"/>
          </w:tcPr>
          <w:p>
            <w:pPr>
              <w:shd w:val="clear"/>
              <w:rPr>
                <w:rFonts w:ascii="宋体" w:hAnsi="宋体" w:cs="宋体"/>
                <w:b/>
                <w:kern w:val="0"/>
                <w:szCs w:val="21"/>
                <w:highlight w:val="none"/>
              </w:rPr>
            </w:pPr>
            <w:r>
              <w:rPr>
                <w:rFonts w:hint="eastAsia" w:ascii="宋体" w:hAnsi="宋体" w:cs="宋体"/>
                <w:b/>
                <w:kern w:val="0"/>
                <w:szCs w:val="21"/>
                <w:highlight w:val="none"/>
              </w:rPr>
              <w:t>公共照明系统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在满足使用的要求情况下，合理控制机电设备照明的开关时间，尽量节省能源；落实好公共照明节能管理制度及方案，拟订照明设施开关计划，对能源消耗进行统计、分析。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每天 1 次巡查大堂、电梯间、停车场、通道、光彩照明、LED 灯、标识牌灯、景观照明、霓虹灯等公共部位照明，有效亮灯率达 98%以上，如有缺损及时更换。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每周 1 次巡检公共照明电源柜，如有问题及时更换，保证设备正常运行和安全用电。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H</w:t>
            </w:r>
          </w:p>
        </w:tc>
        <w:tc>
          <w:tcPr>
            <w:tcW w:w="8659" w:type="dxa"/>
            <w:tcBorders>
              <w:tl2br w:val="nil"/>
              <w:tr2bl w:val="nil"/>
            </w:tcBorders>
            <w:vAlign w:val="center"/>
          </w:tcPr>
          <w:p>
            <w:pPr>
              <w:shd w:val="clear"/>
              <w:rPr>
                <w:rFonts w:ascii="宋体" w:hAnsi="宋体" w:cs="宋体"/>
                <w:b/>
                <w:kern w:val="0"/>
                <w:szCs w:val="21"/>
                <w:highlight w:val="none"/>
              </w:rPr>
            </w:pPr>
            <w:r>
              <w:rPr>
                <w:rFonts w:hint="eastAsia" w:ascii="宋体" w:hAnsi="宋体" w:cs="宋体"/>
                <w:b/>
                <w:kern w:val="0"/>
                <w:szCs w:val="21"/>
                <w:highlight w:val="none"/>
              </w:rPr>
              <w:t>避雷系统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每年雨季前必须要按照法律法规规定对建筑避雷系统进行检测，留存检测合格报告，同时动员和组织租户对重要设施设备进行防雷检测。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保持壁垒系统完整性，不得擅自拆除、迁改避雷设施。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每半年对楼顶层的避雷针、避雷带、避雷线、避雷网、屋面设备、其它金属物体的接地装置进行全面检查，有问题及时解决。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I</w:t>
            </w:r>
          </w:p>
        </w:tc>
        <w:tc>
          <w:tcPr>
            <w:tcW w:w="8659" w:type="dxa"/>
            <w:tcBorders>
              <w:tl2br w:val="nil"/>
              <w:tr2bl w:val="nil"/>
            </w:tcBorders>
            <w:vAlign w:val="center"/>
          </w:tcPr>
          <w:p>
            <w:pPr>
              <w:shd w:val="clear"/>
              <w:rPr>
                <w:rFonts w:ascii="宋体" w:hAnsi="宋体" w:cs="宋体"/>
                <w:b/>
                <w:kern w:val="0"/>
                <w:szCs w:val="21"/>
                <w:highlight w:val="none"/>
              </w:rPr>
            </w:pPr>
            <w:r>
              <w:rPr>
                <w:rFonts w:hint="eastAsia" w:ascii="宋体" w:hAnsi="宋体" w:cs="宋体"/>
                <w:b/>
                <w:kern w:val="0"/>
                <w:szCs w:val="21"/>
                <w:highlight w:val="none"/>
              </w:rPr>
              <w:t>标识系统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参照园区现有标识系统情况，根据甲方要求设置、替换、完善和管理园区内的标识系统并承担相关费用。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配置并在适当时使用“维护进行中”、“小心路滑”等临时性服务状态标识。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公共区域内的紧急出口、消防通道、禁烟区等设置警示性标识。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公共区域及仓储库区内设指示性标识（包括引导标志和功能标识，如电梯、楼梯、出入口通道、残疾人通道、门牌号、问询处、卫生间、有毒有害废弃物存放点标识等）。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5</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应在主要通道及停车场设置交通标识，主要路口设路标。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6</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做好入驻、退园企业的指示牌、标识的维护、更换、清洁工作。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7</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标识的图形符号应该符合相关的法律法规要求；各类标识的格式应统一，悬挂（摆放）应安全、正规、醒目、便利、协调和无涂改，文字规范。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b/>
                <w:kern w:val="0"/>
                <w:szCs w:val="21"/>
                <w:highlight w:val="none"/>
              </w:rPr>
            </w:pPr>
            <w:r>
              <w:rPr>
                <w:rFonts w:hint="eastAsia" w:ascii="宋体" w:hAnsi="宋体" w:cs="宋体"/>
                <w:b/>
                <w:kern w:val="0"/>
                <w:szCs w:val="21"/>
                <w:highlight w:val="none"/>
              </w:rPr>
              <w:t>J</w:t>
            </w:r>
          </w:p>
        </w:tc>
        <w:tc>
          <w:tcPr>
            <w:tcW w:w="8659" w:type="dxa"/>
            <w:tcBorders>
              <w:tl2br w:val="nil"/>
              <w:tr2bl w:val="nil"/>
            </w:tcBorders>
            <w:vAlign w:val="center"/>
          </w:tcPr>
          <w:p>
            <w:pPr>
              <w:shd w:val="clear"/>
              <w:rPr>
                <w:rFonts w:ascii="宋体" w:hAnsi="宋体" w:cs="宋体"/>
                <w:b/>
                <w:kern w:val="0"/>
                <w:szCs w:val="21"/>
                <w:highlight w:val="none"/>
              </w:rPr>
            </w:pPr>
            <w:r>
              <w:rPr>
                <w:rFonts w:hint="eastAsia" w:ascii="宋体" w:hAnsi="宋体" w:cs="宋体"/>
                <w:b/>
                <w:kern w:val="0"/>
                <w:szCs w:val="21"/>
                <w:highlight w:val="none"/>
              </w:rPr>
              <w:t>公共区域设施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各类金属栏、杆、桩、牌、盖等以油漆作为保护层的公共设施，表面油漆无明显脱落、无明显锈迹，安装牢固。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路面无明显污迹、破损，各类沟、渠、井、池盖安装平稳牢固无破损。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用于固定单（摩托）车库（棚）的支架应牢固、整齐、美观。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休闲椅等休闲、配套服务设备设施油漆无明显脱落、无腐烂、无倒塌、断裂等安全隐患。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5</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各种门、杆、柱、扶手、围栏、雕塑无倒塌、断裂等安全隐患，功能良好，油漆无大面积脱落；水景、易攀爬的设施有禁止行为警示标识。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6</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空调架安装有序，室外招牌、广告、霓虹灯整洁统一无安全隐患，外墙装饰无破损或污迹。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7</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各类公共设施、通道、管道井的门挂锁开启便利。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8</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每年上汛前和强降雨后检查屋面防水和雨水管等。公共区域内的雨水、污水管道、沟槽每半年检查、疏通1次。雨水、污水井每半年检查、清掏1次。雨水、污水管道、沟槽发生堵塞应及时疏通。化粪池每年清掏不少于1次，每季度检查1次，防止外溢。检查、疏通工作留存清晰记录，有异常堵塞物的，需要拍照存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9</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公共区域运行良好，无违规违法张贴小广告。对未经许可擅自张贴、更改建筑外立面的广告、招牌和各项构建物沟通予以拆除。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10</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外饰：夜饰照明系统的日常管理、使用和维修。四大节日期间的装饰工作。在满足园区使用要求的前提下，合理控制机电设备和照明的开关时间，尽量节省能源。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11</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设立24小时工程技术人员值班备勤岗，随时接受园区报修。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18" w:type="dxa"/>
            <w:tcBorders>
              <w:tl2br w:val="nil"/>
              <w:tr2bl w:val="nil"/>
            </w:tcBorders>
            <w:vAlign w:val="center"/>
          </w:tcPr>
          <w:p>
            <w:pPr>
              <w:shd w:val="clear"/>
              <w:tabs>
                <w:tab w:val="left" w:pos="0"/>
              </w:tabs>
              <w:autoSpaceDE w:val="0"/>
              <w:autoSpaceDN w:val="0"/>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12</w:t>
            </w:r>
          </w:p>
        </w:tc>
        <w:tc>
          <w:tcPr>
            <w:tcW w:w="8659" w:type="dxa"/>
            <w:tcBorders>
              <w:tl2br w:val="nil"/>
              <w:tr2bl w:val="nil"/>
            </w:tcBorders>
            <w:vAlign w:val="center"/>
          </w:tcPr>
          <w:p>
            <w:pPr>
              <w:shd w:val="clear"/>
              <w:rPr>
                <w:rFonts w:ascii="宋体" w:hAnsi="宋体" w:cs="宋体"/>
                <w:kern w:val="0"/>
                <w:szCs w:val="21"/>
                <w:highlight w:val="none"/>
              </w:rPr>
            </w:pPr>
            <w:r>
              <w:rPr>
                <w:rFonts w:hint="eastAsia" w:ascii="宋体" w:hAnsi="宋体" w:cs="宋体"/>
                <w:kern w:val="0"/>
                <w:szCs w:val="21"/>
                <w:highlight w:val="none"/>
              </w:rPr>
              <w:t>负责园区公共会议室、路演厅、展厅等日常清洁及维护保养。</w:t>
            </w:r>
          </w:p>
        </w:tc>
      </w:tr>
    </w:tbl>
    <w:p>
      <w:pPr>
        <w:numPr>
          <w:ilvl w:val="0"/>
          <w:numId w:val="103"/>
        </w:numPr>
        <w:shd w:val="clear"/>
        <w:adjustRightInd w:val="0"/>
        <w:snapToGrid w:val="0"/>
        <w:spacing w:line="360" w:lineRule="auto"/>
        <w:ind w:firstLine="0"/>
        <w:rPr>
          <w:rFonts w:ascii="宋体" w:hAnsi="宋体" w:cs="宋体"/>
          <w:b/>
          <w:kern w:val="0"/>
          <w:szCs w:val="21"/>
          <w:highlight w:val="none"/>
        </w:rPr>
      </w:pPr>
      <w:r>
        <w:rPr>
          <w:rFonts w:hint="eastAsia" w:ascii="宋体" w:hAnsi="宋体" w:cs="宋体"/>
          <w:b/>
          <w:kern w:val="0"/>
          <w:szCs w:val="21"/>
          <w:highlight w:val="none"/>
        </w:rPr>
        <w:t>环境保洁服务</w:t>
      </w:r>
    </w:p>
    <w:p>
      <w:pPr>
        <w:numPr>
          <w:ilvl w:val="0"/>
          <w:numId w:val="104"/>
        </w:numPr>
        <w:shd w:val="clear"/>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基本要求</w:t>
      </w:r>
    </w:p>
    <w:p>
      <w:pPr>
        <w:numPr>
          <w:ilvl w:val="0"/>
          <w:numId w:val="105"/>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每年根据合同约定的清洁标准、定期保洁工作内容等，制定年度工作计划。每月依据年度计划， 结合上月清洁工作中须改进事项，制定月度工作计划，并落实。报</w:t>
      </w:r>
      <w:r>
        <w:rPr>
          <w:rFonts w:hint="eastAsia" w:hAnsi="宋体" w:cs="宋体"/>
          <w:kern w:val="0"/>
          <w:szCs w:val="21"/>
          <w:highlight w:val="none"/>
        </w:rPr>
        <w:t>甲方</w:t>
      </w:r>
      <w:r>
        <w:rPr>
          <w:rFonts w:hint="eastAsia" w:ascii="宋体" w:hAnsi="宋体" w:cs="宋体"/>
          <w:kern w:val="0"/>
          <w:szCs w:val="21"/>
          <w:highlight w:val="none"/>
        </w:rPr>
        <w:t>备案。</w:t>
      </w:r>
    </w:p>
    <w:p>
      <w:pPr>
        <w:numPr>
          <w:ilvl w:val="0"/>
          <w:numId w:val="105"/>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管理人员每日检查清洁质量，每周抽查区域须覆盖管理区域。每栋楼层内至少设置一个清洁工作签到点，作为清洁人员、管理人员签到之用，以保证清洁质量。</w:t>
      </w:r>
    </w:p>
    <w:p>
      <w:pPr>
        <w:numPr>
          <w:ilvl w:val="0"/>
          <w:numId w:val="104"/>
        </w:numPr>
        <w:shd w:val="clear"/>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清洁频次要求</w:t>
      </w:r>
    </w:p>
    <w:p>
      <w:pPr>
        <w:numPr>
          <w:ilvl w:val="0"/>
          <w:numId w:val="10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主干道及广场、主出入口每日清扫2次并每小时至少巡视1次，如有污迹及时冲洗，及时清除道路积水；</w:t>
      </w:r>
    </w:p>
    <w:p>
      <w:pPr>
        <w:numPr>
          <w:ilvl w:val="0"/>
          <w:numId w:val="10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2米以下墙面、门窗及其他公共设施每周清洁1次；路灯、楼道灯及2米以上墙面、门窗及其他公共设施每月清洁2次；</w:t>
      </w:r>
    </w:p>
    <w:p>
      <w:pPr>
        <w:numPr>
          <w:ilvl w:val="0"/>
          <w:numId w:val="10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公共洗手间地面拖抹不少于3次，随时保洁，至少2小时内巡回1次，每天进行消毒1次（注：毛坯场地洗手间每月拖洗不少于1次，有客户入驻即恢复常规清洁频次）；</w:t>
      </w:r>
    </w:p>
    <w:p>
      <w:pPr>
        <w:numPr>
          <w:ilvl w:val="0"/>
          <w:numId w:val="10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楼层电梯厅及公共走道每日清扫2次，每日拖洗1次（注：毛坯场地电梯厅及公共走道每月拖洗不少于1次，有客户入驻即恢复常规清洁频次）；每年对观光电梯内外幕墙清洗1次；</w:t>
      </w:r>
    </w:p>
    <w:p>
      <w:pPr>
        <w:numPr>
          <w:ilvl w:val="0"/>
          <w:numId w:val="10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消防楼道每周全面清扫3次，每周拖洗2次，扶手每周抹拭3次；</w:t>
      </w:r>
    </w:p>
    <w:p>
      <w:pPr>
        <w:numPr>
          <w:ilvl w:val="0"/>
          <w:numId w:val="10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绿化带每日巡视清洁2次；绿地一有垃圾，要求半小时内拣拾干净；</w:t>
      </w:r>
    </w:p>
    <w:p>
      <w:pPr>
        <w:numPr>
          <w:ilvl w:val="0"/>
          <w:numId w:val="10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大堂、门窗、电梯轿厢随时保洁（避开人流高峰期）；电梯轿厢地毯每周更换清洗不少于1次；</w:t>
      </w:r>
    </w:p>
    <w:p>
      <w:pPr>
        <w:numPr>
          <w:ilvl w:val="0"/>
          <w:numId w:val="10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天台每一周清洁一次；采光井每天清洁一次；</w:t>
      </w:r>
    </w:p>
    <w:p>
      <w:pPr>
        <w:numPr>
          <w:ilvl w:val="0"/>
          <w:numId w:val="10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雨水沟每月清洁一次（雨季根据实际需要增加频次）；</w:t>
      </w:r>
    </w:p>
    <w:p>
      <w:pPr>
        <w:numPr>
          <w:ilvl w:val="0"/>
          <w:numId w:val="10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雨后对区域内主路、干路积水进行清扫；雨后4小时道路无成片积水，雨后天晴1日内恢复道路清洁标准；</w:t>
      </w:r>
    </w:p>
    <w:p>
      <w:pPr>
        <w:numPr>
          <w:ilvl w:val="0"/>
          <w:numId w:val="10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台风天气后及时清理道路及绿化带的绿化或其它垃圾及恢复。</w:t>
      </w:r>
    </w:p>
    <w:p>
      <w:pPr>
        <w:numPr>
          <w:ilvl w:val="0"/>
          <w:numId w:val="106"/>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以上的清洁频次要求为最低要求，需要保证公共区域包括但不限于公共洗手间、主干道及广场、主出入口、楼梯电梯厅、公共走道、大堂、电梯轿厢时刻的干净整洁。</w:t>
      </w:r>
    </w:p>
    <w:p>
      <w:pPr>
        <w:numPr>
          <w:ilvl w:val="0"/>
          <w:numId w:val="104"/>
        </w:numPr>
        <w:shd w:val="clear"/>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清洁标准</w:t>
      </w:r>
    </w:p>
    <w:p>
      <w:pPr>
        <w:numPr>
          <w:ilvl w:val="0"/>
          <w:numId w:val="10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环卫设施:应根据甲方的实际情况合理设置相关环卫设施，如根据甲方保洁需要在公共区域配置</w:t>
      </w:r>
      <w:r>
        <w:rPr>
          <w:rFonts w:hint="eastAsia" w:hAnsi="宋体" w:cs="宋体"/>
          <w:kern w:val="0"/>
          <w:szCs w:val="21"/>
          <w:highlight w:val="none"/>
        </w:rPr>
        <w:t>分类垃圾桶</w:t>
      </w:r>
      <w:r>
        <w:rPr>
          <w:rFonts w:hint="eastAsia" w:ascii="宋体" w:hAnsi="宋体" w:cs="宋体"/>
          <w:kern w:val="0"/>
          <w:szCs w:val="21"/>
          <w:highlight w:val="none"/>
        </w:rPr>
        <w:t>、在适当位置设置垃圾中转点、餐厨垃圾收集转运点、在集中装修期间有临时建渣堆放处等；</w:t>
      </w:r>
    </w:p>
    <w:p>
      <w:pPr>
        <w:numPr>
          <w:ilvl w:val="0"/>
          <w:numId w:val="10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清洁、保洁实行责任制，有专职保洁人员，明确责任范围，实行标准化作业；</w:t>
      </w:r>
    </w:p>
    <w:p>
      <w:pPr>
        <w:numPr>
          <w:ilvl w:val="0"/>
          <w:numId w:val="10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各区域清洁要求：</w:t>
      </w:r>
    </w:p>
    <w:tbl>
      <w:tblPr>
        <w:tblStyle w:val="22"/>
        <w:tblW w:w="97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76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75"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区域</w:t>
            </w:r>
          </w:p>
        </w:tc>
        <w:tc>
          <w:tcPr>
            <w:tcW w:w="7688"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工作要求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外围及周边道路</w:t>
            </w:r>
          </w:p>
        </w:tc>
        <w:tc>
          <w:tcPr>
            <w:tcW w:w="7688" w:type="dxa"/>
            <w:tcBorders>
              <w:tl2br w:val="nil"/>
              <w:tr2bl w:val="nil"/>
            </w:tcBorders>
            <w:vAlign w:val="center"/>
          </w:tcPr>
          <w:p>
            <w:pPr>
              <w:shd w:val="clear"/>
              <w:tabs>
                <w:tab w:val="left" w:pos="0"/>
              </w:tabs>
              <w:autoSpaceDE w:val="0"/>
              <w:autoSpaceDN w:val="0"/>
              <w:adjustRightInd w:val="0"/>
              <w:snapToGrid w:val="0"/>
              <w:rPr>
                <w:rFonts w:ascii="宋体" w:hAnsi="宋体" w:cs="宋体"/>
                <w:kern w:val="0"/>
                <w:szCs w:val="21"/>
                <w:highlight w:val="none"/>
              </w:rPr>
            </w:pPr>
            <w:r>
              <w:rPr>
                <w:rFonts w:hint="eastAsia" w:ascii="宋体" w:hAnsi="宋体" w:cs="宋体"/>
                <w:kern w:val="0"/>
                <w:szCs w:val="21"/>
                <w:highlight w:val="none"/>
              </w:rPr>
              <w:t>地面干净无杂物、无积水，无明显污迹、油渍；明沟、窨井内无杂物、无异味；标示标牌表面干净无积尘、无水印；路灯表面干净无污渍。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绿化带及水池</w:t>
            </w:r>
          </w:p>
        </w:tc>
        <w:tc>
          <w:tcPr>
            <w:tcW w:w="7688" w:type="dxa"/>
            <w:tcBorders>
              <w:tl2br w:val="nil"/>
              <w:tr2bl w:val="nil"/>
            </w:tcBorders>
            <w:vAlign w:val="center"/>
          </w:tcPr>
          <w:p>
            <w:pPr>
              <w:shd w:val="clear"/>
              <w:tabs>
                <w:tab w:val="left" w:pos="0"/>
              </w:tabs>
              <w:autoSpaceDE w:val="0"/>
              <w:autoSpaceDN w:val="0"/>
              <w:adjustRightInd w:val="0"/>
              <w:snapToGrid w:val="0"/>
              <w:rPr>
                <w:rFonts w:ascii="宋体" w:hAnsi="宋体" w:cs="宋体"/>
                <w:kern w:val="0"/>
                <w:szCs w:val="21"/>
                <w:highlight w:val="none"/>
              </w:rPr>
            </w:pPr>
            <w:r>
              <w:rPr>
                <w:rFonts w:hint="eastAsia" w:ascii="宋体" w:hAnsi="宋体" w:cs="宋体"/>
                <w:kern w:val="0"/>
                <w:szCs w:val="21"/>
                <w:highlight w:val="none"/>
              </w:rPr>
              <w:t>定期清除绿地杂草、杂物，花台表面干净无污渍，水池无异味。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大堂、走廊及楼道等楼内管理区域</w:t>
            </w:r>
          </w:p>
        </w:tc>
        <w:tc>
          <w:tcPr>
            <w:tcW w:w="7688" w:type="dxa"/>
            <w:tcBorders>
              <w:tl2br w:val="nil"/>
              <w:tr2bl w:val="nil"/>
            </w:tcBorders>
            <w:vAlign w:val="center"/>
          </w:tcPr>
          <w:p>
            <w:pPr>
              <w:shd w:val="clear"/>
              <w:tabs>
                <w:tab w:val="left" w:pos="0"/>
              </w:tabs>
              <w:autoSpaceDE w:val="0"/>
              <w:autoSpaceDN w:val="0"/>
              <w:adjustRightInd w:val="0"/>
              <w:snapToGrid w:val="0"/>
              <w:rPr>
                <w:rFonts w:ascii="宋体" w:hAnsi="宋体" w:cs="宋体"/>
                <w:kern w:val="0"/>
                <w:szCs w:val="21"/>
                <w:highlight w:val="none"/>
              </w:rPr>
            </w:pPr>
            <w:r>
              <w:rPr>
                <w:rFonts w:hint="eastAsia" w:ascii="宋体" w:hAnsi="宋体" w:cs="宋体"/>
                <w:kern w:val="0"/>
                <w:szCs w:val="21"/>
                <w:highlight w:val="none"/>
              </w:rPr>
              <w:t>地面干净、无污渍，有光泽，保持地面材质原貌；门框、窗框、窗台、金属件表面光亮、无灰尘、无污渍；门窗玻璃干净无尘，透光性好，无明显印迹；各种金属件表面干净，无污渍，有金属光泽门把手干净、无印迹、定时消毒；天花板干净，无污渍、无蛛网；进出口地垫摆放整齐，表面干净无杂物，盆栽植物无积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值班室</w:t>
            </w:r>
          </w:p>
        </w:tc>
        <w:tc>
          <w:tcPr>
            <w:tcW w:w="7688" w:type="dxa"/>
            <w:tcBorders>
              <w:tl2br w:val="nil"/>
              <w:tr2bl w:val="nil"/>
            </w:tcBorders>
            <w:vAlign w:val="center"/>
          </w:tcPr>
          <w:p>
            <w:pPr>
              <w:shd w:val="clear"/>
              <w:tabs>
                <w:tab w:val="left" w:pos="0"/>
              </w:tabs>
              <w:autoSpaceDE w:val="0"/>
              <w:autoSpaceDN w:val="0"/>
              <w:adjustRightInd w:val="0"/>
              <w:snapToGrid w:val="0"/>
              <w:rPr>
                <w:rFonts w:ascii="宋体" w:hAnsi="宋体" w:cs="宋体"/>
                <w:kern w:val="0"/>
                <w:szCs w:val="21"/>
                <w:highlight w:val="none"/>
              </w:rPr>
            </w:pPr>
            <w:r>
              <w:rPr>
                <w:rFonts w:hint="eastAsia" w:ascii="宋体" w:hAnsi="宋体" w:cs="宋体"/>
                <w:kern w:val="0"/>
                <w:szCs w:val="21"/>
                <w:highlight w:val="none"/>
              </w:rPr>
              <w:t>地面、墙面、干净，无灰尘、污渍；天花板、风口目视无灰尘、污渍；桌椅干净，物品摆放整齐、有序；文件柜无尘、无污垢。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楼梯及楼梯间</w:t>
            </w:r>
          </w:p>
        </w:tc>
        <w:tc>
          <w:tcPr>
            <w:tcW w:w="7688" w:type="dxa"/>
            <w:tcBorders>
              <w:tl2br w:val="nil"/>
              <w:tr2bl w:val="nil"/>
            </w:tcBorders>
            <w:vAlign w:val="center"/>
          </w:tcPr>
          <w:p>
            <w:pPr>
              <w:shd w:val="clear"/>
              <w:tabs>
                <w:tab w:val="left" w:pos="0"/>
              </w:tabs>
              <w:autoSpaceDE w:val="0"/>
              <w:autoSpaceDN w:val="0"/>
              <w:adjustRightInd w:val="0"/>
              <w:snapToGrid w:val="0"/>
              <w:rPr>
                <w:rFonts w:ascii="宋体" w:hAnsi="宋体" w:cs="宋体"/>
                <w:kern w:val="0"/>
                <w:szCs w:val="21"/>
                <w:highlight w:val="none"/>
              </w:rPr>
            </w:pPr>
            <w:r>
              <w:rPr>
                <w:rFonts w:hint="eastAsia" w:ascii="宋体" w:hAnsi="宋体" w:cs="宋体"/>
                <w:kern w:val="0"/>
                <w:szCs w:val="21"/>
                <w:highlight w:val="none"/>
              </w:rPr>
              <w:t>梯步表面干净无污渍，防滑条（缝）干净，扶手栏杆表面干净无灰尘，防火门及闭门器表面无污渍，墙面、天花板无积尘、蛛网。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公共卫生间</w:t>
            </w:r>
          </w:p>
        </w:tc>
        <w:tc>
          <w:tcPr>
            <w:tcW w:w="7688" w:type="dxa"/>
            <w:tcBorders>
              <w:tl2br w:val="nil"/>
              <w:tr2bl w:val="nil"/>
            </w:tcBorders>
            <w:vAlign w:val="center"/>
          </w:tcPr>
          <w:p>
            <w:pPr>
              <w:shd w:val="clear"/>
              <w:tabs>
                <w:tab w:val="left" w:pos="0"/>
              </w:tabs>
              <w:autoSpaceDE w:val="0"/>
              <w:autoSpaceDN w:val="0"/>
              <w:adjustRightInd w:val="0"/>
              <w:snapToGrid w:val="0"/>
              <w:rPr>
                <w:rFonts w:ascii="宋体" w:hAnsi="宋体" w:cs="宋体"/>
                <w:kern w:val="0"/>
                <w:szCs w:val="21"/>
                <w:highlight w:val="none"/>
              </w:rPr>
            </w:pPr>
            <w:r>
              <w:rPr>
                <w:rFonts w:hint="eastAsia" w:ascii="宋体" w:hAnsi="宋体" w:cs="宋体"/>
                <w:kern w:val="0"/>
                <w:szCs w:val="21"/>
                <w:highlight w:val="none"/>
              </w:rPr>
              <w:t>地面干净，无污渍、无积水，大小便器表面干净，无污渍，有光泽；各种隔断表面干净，无乱写乱画，金属饰件表面干净，无污迹，有金属光泽；墙壁表面干净，天花板无污渍、蛛网；风口或换气扇表面干净无积尘；门窗表面干净，窗台无灰尘；玻璃干净无水渍；洗手台干净无积水，面盆无污垢；各种物品摆放整齐规范；废纸篓杂物超过 2/3 应及时倾倒，卫生间内空气流通并且无明显异味。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电梯及电梯厅</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电梯轿厢四壁光洁明亮，操作面板无污迹、无灰尘、无印迹，地面干净，空气清新、无异味；电梯凹槽内无垃圾无杂物，按钮表面干净无印迹；电梯前厅内地面干净有光泽；轿厢四壁干净、无乱写乱贴广告。对园区内观光电梯外壁玻璃每年清洗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电器设施</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灯泡、灯管、灯罩无积尘、无污迹。装饰件无积尘、无污迹；开关、插座、配电箱无积尘、无明显污迹。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垃圾桶及果皮箱</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垃圾桶及果皮箱：按指定位置摆放，表面干净无污渍无痰迹，垃圾及时清倒，内胆应定期清洁、清毒。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设备机房、指示牌</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无卫生死角、无垃圾规程，无积尘、目视无蜘蛛网、无明显污渍、无水渍；指示牌、广告牌无灰尘、无污渍，金属件表面光亮，无痕迹。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平台、屋顶</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无垃圾堆积。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垃圾中转站</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地面无明显垃圾，垃圾日产日清。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园区水景</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水上无垃圾、落叶、水体清洁、无异味。做好湖水添加和排放的工作。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三圣河</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水上无垃圾、落叶。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建筑物外墙、</w:t>
            </w:r>
          </w:p>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玻璃幕墙</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园区所有建筑物外墙、玻璃幕墙每年清洗一次。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1" w:type="dxa"/>
            <w:tcBorders>
              <w:tl2br w:val="nil"/>
              <w:tr2bl w:val="nil"/>
            </w:tcBorders>
            <w:vAlign w:val="center"/>
          </w:tcPr>
          <w:p>
            <w:pPr>
              <w:shd w:val="clear"/>
              <w:tabs>
                <w:tab w:val="left" w:pos="0"/>
              </w:tabs>
              <w:autoSpaceDE w:val="0"/>
              <w:autoSpaceDN w:val="0"/>
              <w:adjustRightInd w:val="0"/>
              <w:snapToGrid w:val="0"/>
              <w:jc w:val="center"/>
              <w:rPr>
                <w:rFonts w:ascii="宋体" w:hAnsi="宋体" w:cs="宋体"/>
                <w:b/>
                <w:kern w:val="0"/>
                <w:szCs w:val="21"/>
                <w:highlight w:val="none"/>
              </w:rPr>
            </w:pPr>
            <w:r>
              <w:rPr>
                <w:rFonts w:hint="eastAsia" w:ascii="宋体" w:hAnsi="宋体" w:cs="宋体"/>
                <w:b/>
                <w:kern w:val="0"/>
                <w:szCs w:val="21"/>
                <w:highlight w:val="none"/>
              </w:rPr>
              <w:t>特别约定</w:t>
            </w:r>
          </w:p>
        </w:tc>
        <w:tc>
          <w:tcPr>
            <w:tcW w:w="7688" w:type="dxa"/>
            <w:tcBorders>
              <w:tl2br w:val="nil"/>
              <w:tr2bl w:val="nil"/>
            </w:tcBorders>
            <w:vAlign w:val="center"/>
          </w:tcPr>
          <w:p>
            <w:pPr>
              <w:shd w:val="clear"/>
              <w:tabs>
                <w:tab w:val="left" w:pos="0"/>
              </w:tabs>
              <w:autoSpaceDE w:val="0"/>
              <w:autoSpaceDN w:val="0"/>
              <w:adjustRightInd w:val="0"/>
              <w:snapToGrid w:val="0"/>
              <w:ind w:left="13" w:leftChars="6"/>
              <w:rPr>
                <w:rFonts w:ascii="宋体" w:hAnsi="宋体" w:cs="宋体"/>
                <w:kern w:val="0"/>
                <w:szCs w:val="21"/>
                <w:highlight w:val="none"/>
              </w:rPr>
            </w:pPr>
            <w:r>
              <w:rPr>
                <w:rFonts w:hint="eastAsia" w:ascii="宋体" w:hAnsi="宋体" w:cs="宋体"/>
                <w:kern w:val="0"/>
                <w:szCs w:val="21"/>
                <w:highlight w:val="none"/>
              </w:rPr>
              <w:t>①在市/区开展城市考评或创文考察期间，需按照城市考评标准或创文标准落实保洁工作②发生重大传染病疫情期间（或疫情防控期间），电梯轿厢、各类门拉手、楼梯扶手、开关按钮、休闲桌椅、公共洗手间、垃圾房、垃圾桶、果皮箱等至少每日消毒4次（或按当地政府规定），并做好相关防疫措施及宣传工作。</w:t>
            </w:r>
          </w:p>
        </w:tc>
      </w:tr>
    </w:tbl>
    <w:p>
      <w:pPr>
        <w:numPr>
          <w:ilvl w:val="0"/>
          <w:numId w:val="0"/>
        </w:numPr>
        <w:shd w:val="clear"/>
        <w:adjustRightInd w:val="0"/>
        <w:snapToGrid w:val="0"/>
        <w:spacing w:line="360" w:lineRule="auto"/>
        <w:ind w:left="425" w:firstLine="0"/>
        <w:rPr>
          <w:rFonts w:ascii="宋体" w:hAnsi="宋体" w:cs="宋体"/>
          <w:b/>
          <w:kern w:val="0"/>
          <w:szCs w:val="21"/>
          <w:highlight w:val="none"/>
        </w:rPr>
      </w:pPr>
      <w:r>
        <w:rPr>
          <w:rFonts w:hint="eastAsia" w:ascii="宋体" w:hAnsi="宋体" w:cs="宋体"/>
          <w:b/>
          <w:kern w:val="0"/>
          <w:szCs w:val="21"/>
          <w:highlight w:val="none"/>
        </w:rPr>
        <w:t>4</w:t>
      </w:r>
      <w:r>
        <w:rPr>
          <w:rFonts w:ascii="宋体" w:hAnsi="宋体" w:cs="宋体"/>
          <w:b/>
          <w:kern w:val="0"/>
          <w:szCs w:val="21"/>
          <w:highlight w:val="none"/>
        </w:rPr>
        <w:t>.</w:t>
      </w:r>
      <w:r>
        <w:rPr>
          <w:rFonts w:hint="eastAsia" w:ascii="宋体" w:hAnsi="宋体" w:cs="宋体"/>
          <w:b/>
          <w:kern w:val="0"/>
          <w:szCs w:val="21"/>
          <w:highlight w:val="none"/>
        </w:rPr>
        <w:t>环境消杀</w:t>
      </w:r>
    </w:p>
    <w:p>
      <w:pPr>
        <w:numPr>
          <w:ilvl w:val="0"/>
          <w:numId w:val="108"/>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消杀工具设备摆放整齐、表面清洁、标识清晰，统一存放指定场所，对消杀药品的储存、领取与使用环节进行有效控制，按危险品管理，防止意外事故发生，使用符合国家相关规定的合格药品，消杀过程做好防护措施，投放与喷施消杀药品的场所须设置醒目的警示标识，必要时采取隔离措施，防止宠物、小孩误食；如涉及高空作业等风险较高的服务项目，资质证书（根据当地政策法规规定）、作业人员上岗证须在乙方物业管理服务中心备案，并签订协议，协议中明确约定作业安全、监控责任及为作业人员购买意外险等；</w:t>
      </w:r>
    </w:p>
    <w:p>
      <w:pPr>
        <w:numPr>
          <w:ilvl w:val="0"/>
          <w:numId w:val="108"/>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消杀人员持证上岗，通过专业消杀资质公司开展消杀工作；</w:t>
      </w:r>
    </w:p>
    <w:p>
      <w:pPr>
        <w:numPr>
          <w:ilvl w:val="0"/>
          <w:numId w:val="108"/>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消杀前（含绿化带），提前将计划在园区内公示，公示内容包括消杀时间、对象、范围、注意事项等。</w:t>
      </w:r>
    </w:p>
    <w:p>
      <w:pPr>
        <w:numPr>
          <w:ilvl w:val="0"/>
          <w:numId w:val="0"/>
        </w:numPr>
        <w:shd w:val="clear"/>
        <w:adjustRightInd w:val="0"/>
        <w:snapToGrid w:val="0"/>
        <w:spacing w:line="360" w:lineRule="auto"/>
        <w:ind w:left="425" w:firstLine="0"/>
        <w:rPr>
          <w:rFonts w:ascii="宋体" w:hAnsi="宋体" w:cs="宋体"/>
          <w:b/>
          <w:kern w:val="0"/>
          <w:szCs w:val="21"/>
          <w:highlight w:val="none"/>
        </w:rPr>
      </w:pPr>
      <w:r>
        <w:rPr>
          <w:rFonts w:hint="eastAsia" w:ascii="宋体" w:hAnsi="宋体" w:cs="宋体"/>
          <w:b/>
          <w:kern w:val="0"/>
          <w:szCs w:val="21"/>
          <w:highlight w:val="none"/>
        </w:rPr>
        <w:t>5</w:t>
      </w:r>
      <w:r>
        <w:rPr>
          <w:rFonts w:ascii="宋体" w:hAnsi="宋体" w:cs="宋体"/>
          <w:b/>
          <w:kern w:val="0"/>
          <w:szCs w:val="21"/>
          <w:highlight w:val="none"/>
        </w:rPr>
        <w:t>.</w:t>
      </w:r>
      <w:r>
        <w:rPr>
          <w:rFonts w:hint="eastAsia" w:ascii="宋体" w:hAnsi="宋体" w:cs="宋体"/>
          <w:b/>
          <w:kern w:val="0"/>
          <w:szCs w:val="21"/>
          <w:highlight w:val="none"/>
        </w:rPr>
        <w:t>垃圾清运</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生活垃圾专人负责，日产日清；对装修、维修产生的建筑垃圾应有专人负责清理；</w:t>
      </w:r>
    </w:p>
    <w:p>
      <w:pPr>
        <w:numPr>
          <w:ilvl w:val="0"/>
          <w:numId w:val="0"/>
        </w:numPr>
        <w:shd w:val="clear"/>
        <w:adjustRightInd w:val="0"/>
        <w:snapToGrid w:val="0"/>
        <w:spacing w:line="360" w:lineRule="auto"/>
        <w:ind w:left="425" w:firstLine="0"/>
        <w:rPr>
          <w:rFonts w:ascii="宋体" w:hAnsi="宋体" w:cs="宋体"/>
          <w:b/>
          <w:kern w:val="0"/>
          <w:szCs w:val="21"/>
          <w:highlight w:val="none"/>
        </w:rPr>
      </w:pPr>
      <w:r>
        <w:rPr>
          <w:rFonts w:hint="eastAsia" w:ascii="宋体" w:hAnsi="宋体" w:cs="宋体"/>
          <w:b/>
          <w:kern w:val="0"/>
          <w:szCs w:val="21"/>
          <w:highlight w:val="none"/>
        </w:rPr>
        <w:t>6</w:t>
      </w:r>
      <w:r>
        <w:rPr>
          <w:rFonts w:ascii="宋体" w:hAnsi="宋体" w:cs="宋体"/>
          <w:b/>
          <w:kern w:val="0"/>
          <w:szCs w:val="21"/>
          <w:highlight w:val="none"/>
        </w:rPr>
        <w:t>.</w:t>
      </w:r>
      <w:r>
        <w:rPr>
          <w:rFonts w:hint="eastAsia" w:ascii="宋体" w:hAnsi="宋体" w:cs="宋体"/>
          <w:b/>
          <w:kern w:val="0"/>
          <w:szCs w:val="21"/>
          <w:highlight w:val="none"/>
        </w:rPr>
        <w:t>保洁应急处理</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如出现自来水爆管、化粪池外溢、公共性疫情等情况，应启动相应的应急预案，全力配合有关部门，保障租户人身安全，减少财产损失。</w:t>
      </w:r>
    </w:p>
    <w:p>
      <w:pPr>
        <w:numPr>
          <w:ilvl w:val="0"/>
          <w:numId w:val="0"/>
        </w:numPr>
        <w:shd w:val="clear"/>
        <w:adjustRightInd w:val="0"/>
        <w:snapToGrid w:val="0"/>
        <w:spacing w:line="360" w:lineRule="auto"/>
        <w:ind w:left="425" w:firstLine="0"/>
        <w:rPr>
          <w:rFonts w:ascii="宋体" w:hAnsi="宋体" w:cs="宋体"/>
          <w:b/>
          <w:kern w:val="0"/>
          <w:highlight w:val="none"/>
        </w:rPr>
      </w:pPr>
      <w:r>
        <w:rPr>
          <w:rFonts w:hint="eastAsia" w:ascii="宋体" w:hAnsi="宋体" w:cs="宋体"/>
          <w:b/>
          <w:kern w:val="0"/>
          <w:highlight w:val="none"/>
        </w:rPr>
        <w:t>7</w:t>
      </w:r>
      <w:r>
        <w:rPr>
          <w:rFonts w:ascii="宋体" w:hAnsi="宋体" w:cs="宋体"/>
          <w:b/>
          <w:kern w:val="0"/>
          <w:highlight w:val="none"/>
        </w:rPr>
        <w:t>.</w:t>
      </w:r>
      <w:r>
        <w:rPr>
          <w:rFonts w:hint="eastAsia" w:ascii="宋体" w:hAnsi="宋体" w:cs="宋体"/>
          <w:b/>
          <w:kern w:val="0"/>
          <w:highlight w:val="none"/>
        </w:rPr>
        <w:t>除“四害”等</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ab/>
      </w:r>
      <w:r>
        <w:rPr>
          <w:rFonts w:hint="eastAsia" w:ascii="宋体" w:hAnsi="宋体" w:cs="宋体"/>
          <w:kern w:val="0"/>
          <w:szCs w:val="21"/>
          <w:highlight w:val="none"/>
        </w:rPr>
        <w:t>灭鼠、灭蟑螂（大蠊）、灭蝇、蚊蝇孳生地控制；夏季每月不少于2次，冬季每月不少于1次。灭蚊：每年不少于4次。以检查、防治白蚁为主，发现问题随时灭杀。在进场灭杀3个月后，经检查验收没有发现新的蚁路、蚁巢等蚊迹方为有效。园区内出现鼠患、白蚁情况的，由乙方负责采用有效合理方式予以灭杀，灭杀费用包含在管理费中，如因此导致室内设施损坏的，由乙方进行相应修复、赔偿。</w:t>
      </w:r>
    </w:p>
    <w:p>
      <w:pPr>
        <w:numPr>
          <w:ilvl w:val="0"/>
          <w:numId w:val="103"/>
        </w:numPr>
        <w:shd w:val="clear"/>
        <w:adjustRightInd w:val="0"/>
        <w:snapToGrid w:val="0"/>
        <w:spacing w:line="360" w:lineRule="auto"/>
        <w:ind w:firstLine="0"/>
        <w:rPr>
          <w:rFonts w:ascii="宋体" w:hAnsi="宋体" w:cs="宋体"/>
          <w:b/>
          <w:kern w:val="0"/>
          <w:szCs w:val="21"/>
          <w:highlight w:val="none"/>
        </w:rPr>
      </w:pPr>
      <w:r>
        <w:rPr>
          <w:rFonts w:hint="eastAsia" w:ascii="宋体" w:hAnsi="宋体" w:cs="宋体"/>
          <w:b/>
          <w:kern w:val="0"/>
          <w:szCs w:val="21"/>
          <w:highlight w:val="none"/>
        </w:rPr>
        <w:t>绿化养护服务</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负责园区内公用绿地、植物养护。按照花卉的种类，保证植物、花卉水分充足，湿度适中并适时整形修剪，保持花卉表面清洁无尘，枝叶茂盛，每月一次施肥和防虫。园区绿化垃圾及时清理。园区大堂、各服务区域、园区办公室、会议室、公共区域摆放植物及养护。</w:t>
      </w:r>
    </w:p>
    <w:p>
      <w:pPr>
        <w:numPr>
          <w:ilvl w:val="0"/>
          <w:numId w:val="109"/>
        </w:numPr>
        <w:shd w:val="clear"/>
        <w:adjustRightInd w:val="0"/>
        <w:snapToGrid w:val="0"/>
        <w:spacing w:line="360" w:lineRule="auto"/>
        <w:ind w:hanging="5"/>
        <w:rPr>
          <w:rFonts w:ascii="宋体" w:hAnsi="宋体" w:cs="宋体"/>
          <w:b/>
          <w:kern w:val="0"/>
          <w:szCs w:val="21"/>
          <w:highlight w:val="none"/>
        </w:rPr>
      </w:pPr>
      <w:r>
        <w:rPr>
          <w:rFonts w:hint="eastAsia" w:ascii="宋体" w:hAnsi="宋体" w:cs="宋体"/>
          <w:b/>
          <w:kern w:val="0"/>
          <w:szCs w:val="21"/>
          <w:highlight w:val="none"/>
        </w:rPr>
        <w:t>基础要求</w:t>
      </w:r>
    </w:p>
    <w:p>
      <w:pPr>
        <w:numPr>
          <w:ilvl w:val="0"/>
          <w:numId w:val="11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根据植物生长习性编制年度、月度养护计划并跟进实施，报园区审核备案；</w:t>
      </w:r>
    </w:p>
    <w:p>
      <w:pPr>
        <w:numPr>
          <w:ilvl w:val="0"/>
          <w:numId w:val="11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建立绿化改造管理流程，改变园林绿化原有设计、变更主要植物种类或数量、减少绿化面积的，改造前须取得园区批准同意；</w:t>
      </w:r>
    </w:p>
    <w:p>
      <w:pPr>
        <w:numPr>
          <w:ilvl w:val="0"/>
          <w:numId w:val="11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剪草、乔木修剪等作业不影响客户正常休息；</w:t>
      </w:r>
    </w:p>
    <w:p>
      <w:pPr>
        <w:numPr>
          <w:ilvl w:val="0"/>
          <w:numId w:val="11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至少每周对绿化养护情况进行1次检查并记录；</w:t>
      </w:r>
    </w:p>
    <w:p>
      <w:pPr>
        <w:numPr>
          <w:ilvl w:val="0"/>
          <w:numId w:val="11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进行机械作业时，作业人员须佩戴好防护用品，有现场作业标识。绿化异常区应有“修剪养护期”等提示性标识；</w:t>
      </w:r>
    </w:p>
    <w:p>
      <w:pPr>
        <w:numPr>
          <w:ilvl w:val="0"/>
          <w:numId w:val="110"/>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补植苗木（因乙方管理疏忽导致园区内植物枯萎的，苗木补种费用由乙方承担）。</w:t>
      </w:r>
    </w:p>
    <w:p>
      <w:pPr>
        <w:numPr>
          <w:ilvl w:val="0"/>
          <w:numId w:val="109"/>
        </w:numPr>
        <w:shd w:val="clear"/>
        <w:adjustRightInd w:val="0"/>
        <w:snapToGrid w:val="0"/>
        <w:spacing w:line="360" w:lineRule="auto"/>
        <w:ind w:hanging="5"/>
        <w:rPr>
          <w:rFonts w:ascii="宋体" w:hAnsi="宋体" w:cs="宋体"/>
          <w:b/>
          <w:kern w:val="0"/>
          <w:szCs w:val="21"/>
          <w:highlight w:val="none"/>
        </w:rPr>
      </w:pPr>
      <w:r>
        <w:rPr>
          <w:rFonts w:hint="eastAsia" w:ascii="宋体" w:hAnsi="宋体" w:cs="宋体"/>
          <w:b/>
          <w:kern w:val="0"/>
          <w:szCs w:val="21"/>
          <w:highlight w:val="none"/>
        </w:rPr>
        <w:t>养护频次与要求</w:t>
      </w:r>
    </w:p>
    <w:p>
      <w:pPr>
        <w:numPr>
          <w:ilvl w:val="0"/>
          <w:numId w:val="11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乔木修剪至少1次/年，灌木、草坪生长季节每月修剪1次或根据实际情况确定修剪频次；</w:t>
      </w:r>
    </w:p>
    <w:p>
      <w:pPr>
        <w:numPr>
          <w:ilvl w:val="0"/>
          <w:numId w:val="11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造型植物依据实际情况确定修剪频次；</w:t>
      </w:r>
    </w:p>
    <w:p>
      <w:pPr>
        <w:numPr>
          <w:ilvl w:val="0"/>
          <w:numId w:val="11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花坛植物生长季节至少每季度松土1次或根据实际情况确定频次；</w:t>
      </w:r>
    </w:p>
    <w:p>
      <w:pPr>
        <w:numPr>
          <w:ilvl w:val="0"/>
          <w:numId w:val="11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根据实际情况适时浇水、施肥每月1次、除杂草每月2次；</w:t>
      </w:r>
    </w:p>
    <w:p>
      <w:pPr>
        <w:numPr>
          <w:ilvl w:val="0"/>
          <w:numId w:val="11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针对不同的品种和季节进行病虫害防治，每月至少1次；</w:t>
      </w:r>
    </w:p>
    <w:p>
      <w:pPr>
        <w:numPr>
          <w:ilvl w:val="0"/>
          <w:numId w:val="111"/>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做好防涝、防冻、防台风。</w:t>
      </w:r>
    </w:p>
    <w:p>
      <w:pPr>
        <w:numPr>
          <w:ilvl w:val="0"/>
          <w:numId w:val="109"/>
        </w:numPr>
        <w:shd w:val="clear"/>
        <w:adjustRightInd w:val="0"/>
        <w:snapToGrid w:val="0"/>
        <w:spacing w:line="360" w:lineRule="auto"/>
        <w:ind w:hanging="5"/>
        <w:rPr>
          <w:rFonts w:ascii="宋体" w:hAnsi="宋体" w:cs="宋体"/>
          <w:b/>
          <w:kern w:val="0"/>
          <w:szCs w:val="21"/>
          <w:highlight w:val="none"/>
        </w:rPr>
      </w:pPr>
      <w:r>
        <w:rPr>
          <w:rFonts w:hint="eastAsia" w:ascii="宋体" w:hAnsi="宋体" w:cs="宋体"/>
          <w:b/>
          <w:kern w:val="0"/>
          <w:szCs w:val="21"/>
          <w:highlight w:val="none"/>
        </w:rPr>
        <w:t>养护标准</w:t>
      </w:r>
    </w:p>
    <w:p>
      <w:pPr>
        <w:numPr>
          <w:ilvl w:val="0"/>
          <w:numId w:val="11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绿化养护应达到绿地及花坛内各种植物存活率98%。绿地设施及硬质景观完好无损。植物群落完整，层次丰富，黄土不外露，有整体的观赏效果。植物季相分明，生长茂盛；</w:t>
      </w:r>
    </w:p>
    <w:p>
      <w:pPr>
        <w:numPr>
          <w:ilvl w:val="0"/>
          <w:numId w:val="11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保持土壤适度湿润，原则上“不干不浇，浇则浇透”；浇灌中流出的余水及时清理；</w:t>
      </w:r>
    </w:p>
    <w:p>
      <w:pPr>
        <w:numPr>
          <w:ilvl w:val="0"/>
          <w:numId w:val="11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草坪保持平整，高度不超过5厘米，草屑及时清理；乔木修剪科学合理，剪口光滑整齐，树冠完整美观，无徒长枝、下垂枝、枯枝，内膛不乱，通风透光，绿篱修剪整齐有型，保持观赏面枝叶丰满。花灌木花后修剪及时，无残花；</w:t>
      </w:r>
    </w:p>
    <w:p>
      <w:pPr>
        <w:numPr>
          <w:ilvl w:val="0"/>
          <w:numId w:val="11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绿地内立视应无明显杂草，土壤疏松通透；</w:t>
      </w:r>
    </w:p>
    <w:p>
      <w:pPr>
        <w:numPr>
          <w:ilvl w:val="0"/>
          <w:numId w:val="11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按植物品种、生长速度、土壤状况，适时适量施无机肥；</w:t>
      </w:r>
    </w:p>
    <w:p>
      <w:pPr>
        <w:numPr>
          <w:ilvl w:val="0"/>
          <w:numId w:val="11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预防为主，生态治理。草皮无病斑，植物枝叶无虫害咬口、排泄物、无悬挂或领队在植物上的虫茧、休眠虫体及越冬虫蛹；</w:t>
      </w:r>
    </w:p>
    <w:p>
      <w:pPr>
        <w:numPr>
          <w:ilvl w:val="0"/>
          <w:numId w:val="11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绿地内无垃圾，乔木无树挂；</w:t>
      </w:r>
    </w:p>
    <w:p>
      <w:pPr>
        <w:numPr>
          <w:ilvl w:val="0"/>
          <w:numId w:val="11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园区公共服务区域（四座路演厅、八座[报告厅、会议室、展厅及走廊通道等]、园区部分公共服务区域）绿植摆放总数量不低于以下标准及数量：1.5-2.0 米植物不少于50盆；1 米左右植物不少于30盆。</w:t>
      </w:r>
    </w:p>
    <w:p>
      <w:pPr>
        <w:numPr>
          <w:ilvl w:val="0"/>
          <w:numId w:val="109"/>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在市/区开展城市考评或创文考察期间，需按照城市考评标准或创文标准落实绿化养护工作。</w:t>
      </w:r>
    </w:p>
    <w:p>
      <w:pPr>
        <w:numPr>
          <w:ilvl w:val="0"/>
          <w:numId w:val="103"/>
        </w:numPr>
        <w:shd w:val="clear"/>
        <w:adjustRightInd w:val="0"/>
        <w:snapToGrid w:val="0"/>
        <w:spacing w:line="360" w:lineRule="auto"/>
        <w:ind w:firstLine="0"/>
        <w:rPr>
          <w:rFonts w:ascii="宋体" w:hAnsi="宋体" w:cs="宋体"/>
          <w:b/>
          <w:kern w:val="0"/>
          <w:szCs w:val="21"/>
          <w:highlight w:val="none"/>
        </w:rPr>
      </w:pPr>
      <w:r>
        <w:rPr>
          <w:rFonts w:hint="eastAsia" w:ascii="宋体" w:hAnsi="宋体" w:cs="宋体"/>
          <w:b/>
          <w:kern w:val="0"/>
          <w:szCs w:val="21"/>
          <w:highlight w:val="none"/>
        </w:rPr>
        <w:t>费用催缴及代收服务</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ab/>
      </w:r>
      <w:r>
        <w:rPr>
          <w:rFonts w:hint="eastAsia" w:ascii="宋体" w:hAnsi="宋体" w:cs="宋体"/>
          <w:kern w:val="0"/>
          <w:szCs w:val="21"/>
          <w:highlight w:val="none"/>
        </w:rPr>
        <w:t>负责对园区企业客户费用进行催缴工作。</w:t>
      </w:r>
    </w:p>
    <w:p>
      <w:pPr>
        <w:numPr>
          <w:ilvl w:val="0"/>
          <w:numId w:val="113"/>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根据甲方的管理要求，每月对入驻企业客户的租金、物业管理费、水电费进行催缴并建立台账及催缴相关记录备档，每月至少一次向甲方书面报送租户欠缴费用的信息。经甲方书面同意，对严重欠费企业采取有关限制措施；</w:t>
      </w:r>
    </w:p>
    <w:p>
      <w:pPr>
        <w:numPr>
          <w:ilvl w:val="0"/>
          <w:numId w:val="113"/>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严格按照规定的收费标准。</w:t>
      </w:r>
    </w:p>
    <w:p>
      <w:pPr>
        <w:numPr>
          <w:ilvl w:val="0"/>
          <w:numId w:val="103"/>
        </w:numPr>
        <w:shd w:val="clear"/>
        <w:adjustRightInd w:val="0"/>
        <w:snapToGrid w:val="0"/>
        <w:spacing w:line="360" w:lineRule="auto"/>
        <w:ind w:firstLine="0"/>
        <w:rPr>
          <w:rFonts w:ascii="宋体" w:hAnsi="宋体" w:cs="宋体"/>
          <w:b/>
          <w:kern w:val="0"/>
          <w:szCs w:val="21"/>
          <w:highlight w:val="none"/>
        </w:rPr>
      </w:pPr>
      <w:r>
        <w:rPr>
          <w:rFonts w:hint="eastAsia" w:ascii="宋体" w:hAnsi="宋体" w:cs="宋体"/>
          <w:b/>
          <w:kern w:val="0"/>
          <w:szCs w:val="21"/>
          <w:highlight w:val="none"/>
        </w:rPr>
        <w:t>园区服务</w:t>
      </w:r>
    </w:p>
    <w:p>
      <w:pPr>
        <w:numPr>
          <w:ilvl w:val="0"/>
          <w:numId w:val="114"/>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负责协助园区定期（季度）/或不定期宣传栏更换喷画内容、张挂宣传条幅布置维护等；协助处理园区公共关系、宣传栏的布置、后勤服务指南的制作和派发；协助开展园区文化娱乐活动；开办宣传橱窗、设立宣传栏、开展丰富多彩的活动；</w:t>
      </w:r>
    </w:p>
    <w:p>
      <w:pPr>
        <w:numPr>
          <w:ilvl w:val="0"/>
          <w:numId w:val="114"/>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负责物业管理和后勤服务工作的宣传；</w:t>
      </w:r>
    </w:p>
    <w:p>
      <w:pPr>
        <w:numPr>
          <w:ilvl w:val="0"/>
          <w:numId w:val="114"/>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负责配合有关庆典、仪式、会议、参观的安排接待。</w:t>
      </w:r>
      <w:r>
        <w:rPr>
          <w:rFonts w:hint="eastAsia" w:hAnsi="宋体" w:cs="宋体"/>
          <w:kern w:val="0"/>
          <w:szCs w:val="21"/>
          <w:highlight w:val="none"/>
        </w:rPr>
        <w:t>（</w:t>
      </w:r>
      <w:r>
        <w:rPr>
          <w:rFonts w:hint="eastAsia" w:ascii="宋体" w:hAnsi="宋体" w:cs="宋体"/>
          <w:kern w:val="0"/>
          <w:szCs w:val="21"/>
          <w:highlight w:val="none"/>
        </w:rPr>
        <w:t>投标时提供5分钟内</w:t>
      </w:r>
      <w:r>
        <w:rPr>
          <w:rFonts w:hint="eastAsia" w:hAnsi="宋体" w:cs="宋体"/>
          <w:kern w:val="0"/>
          <w:szCs w:val="21"/>
          <w:highlight w:val="none"/>
        </w:rPr>
        <w:t>的相关接待服务视频，</w:t>
      </w:r>
      <w:r>
        <w:rPr>
          <w:rFonts w:hint="eastAsia" w:cs="宋体"/>
          <w:highlight w:val="none"/>
        </w:rPr>
        <w:t>作为对“</w:t>
      </w:r>
      <w:r>
        <w:rPr>
          <w:rFonts w:hint="eastAsia" w:ascii="宋体" w:hAnsi="宋体" w:cs="宋体"/>
          <w:kern w:val="0"/>
          <w:szCs w:val="21"/>
          <w:highlight w:val="none"/>
        </w:rPr>
        <w:t>专项接待管理方案</w:t>
      </w:r>
      <w:r>
        <w:rPr>
          <w:rFonts w:hint="eastAsia" w:cs="宋体"/>
          <w:highlight w:val="none"/>
        </w:rPr>
        <w:t>”证明材料。</w:t>
      </w:r>
      <w:r>
        <w:rPr>
          <w:rFonts w:hint="eastAsia" w:ascii="宋体" w:hAnsi="宋体" w:cs="宋体"/>
          <w:kern w:val="0"/>
          <w:szCs w:val="21"/>
          <w:highlight w:val="none"/>
        </w:rPr>
        <w:t>视频电子文档随投标文件一并密封提交。</w:t>
      </w:r>
      <w:r>
        <w:rPr>
          <w:rFonts w:hint="eastAsia" w:hAnsi="宋体" w:cs="宋体"/>
          <w:kern w:val="0"/>
          <w:szCs w:val="21"/>
          <w:highlight w:val="none"/>
        </w:rPr>
        <w:t>）</w:t>
      </w:r>
    </w:p>
    <w:p>
      <w:pPr>
        <w:numPr>
          <w:ilvl w:val="0"/>
          <w:numId w:val="114"/>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负责园区活动场地包括但不限于会议室、报告厅、路演厅的布置、整理、打扫，物料搬运、摆放，会议设备调试，参会人员的指引、会场的安保，会议内部服务，会务应急管理及突发事件处理工作，配备专职会务接待人员负责会务相关工作。</w:t>
      </w:r>
    </w:p>
    <w:p>
      <w:pPr>
        <w:numPr>
          <w:ilvl w:val="0"/>
          <w:numId w:val="103"/>
        </w:numPr>
        <w:shd w:val="clear"/>
        <w:adjustRightInd w:val="0"/>
        <w:snapToGrid w:val="0"/>
        <w:spacing w:line="360" w:lineRule="auto"/>
        <w:ind w:firstLine="0"/>
        <w:rPr>
          <w:rFonts w:ascii="宋体" w:hAnsi="宋体" w:cs="宋体"/>
          <w:b/>
          <w:kern w:val="0"/>
          <w:szCs w:val="21"/>
          <w:highlight w:val="none"/>
        </w:rPr>
      </w:pPr>
      <w:r>
        <w:rPr>
          <w:rFonts w:hint="eastAsia" w:ascii="宋体" w:hAnsi="宋体" w:cs="宋体"/>
          <w:b/>
          <w:kern w:val="0"/>
          <w:szCs w:val="21"/>
          <w:highlight w:val="none"/>
        </w:rPr>
        <w:t>物业管理咨询服务</w:t>
      </w:r>
    </w:p>
    <w:p>
      <w:pPr>
        <w:shd w:val="clear"/>
        <w:adjustRightInd w:val="0"/>
        <w:snapToGrid w:val="0"/>
        <w:spacing w:line="360" w:lineRule="auto"/>
        <w:ind w:left="420" w:firstLine="420" w:firstLineChars="200"/>
        <w:rPr>
          <w:rFonts w:ascii="宋体" w:hAnsi="宋体" w:cs="宋体"/>
          <w:kern w:val="0"/>
          <w:szCs w:val="21"/>
          <w:highlight w:val="none"/>
        </w:rPr>
      </w:pPr>
      <w:r>
        <w:rPr>
          <w:rFonts w:hint="eastAsia" w:ascii="宋体" w:hAnsi="宋体" w:cs="宋体"/>
          <w:kern w:val="0"/>
          <w:szCs w:val="21"/>
          <w:highlight w:val="none"/>
        </w:rPr>
        <w:t>根据物业管理专业领域积累的管理经验，为甲方提供千灯湖创投特色小镇核心区（二期）建设期间的咨询服务：</w:t>
      </w:r>
    </w:p>
    <w:p>
      <w:pPr>
        <w:numPr>
          <w:ilvl w:val="0"/>
          <w:numId w:val="11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为项目建设期间的交通路线规划、安全管理、物业管理提供合理化建议；</w:t>
      </w:r>
    </w:p>
    <w:p>
      <w:pPr>
        <w:numPr>
          <w:ilvl w:val="0"/>
          <w:numId w:val="11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针对项目方案设计，及时发现及提出对后期物业管理服务不利的相关问题，为完善物业建设提出建设性意见；</w:t>
      </w:r>
    </w:p>
    <w:p>
      <w:pPr>
        <w:numPr>
          <w:ilvl w:val="0"/>
          <w:numId w:val="11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定期参加甲方及有关单位召开的专题会议，提供物业专业意见；</w:t>
      </w:r>
    </w:p>
    <w:p>
      <w:pPr>
        <w:numPr>
          <w:ilvl w:val="0"/>
          <w:numId w:val="115"/>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提出项目建设期间物业管理保障方案及客户沟通方案，减少施工期间对入驻租户产生的不利影响。</w:t>
      </w:r>
    </w:p>
    <w:p>
      <w:pPr>
        <w:shd w:val="clear"/>
        <w:adjustRightInd w:val="0"/>
        <w:snapToGrid w:val="0"/>
        <w:spacing w:line="360" w:lineRule="auto"/>
        <w:ind w:left="420"/>
        <w:rPr>
          <w:rFonts w:ascii="宋体" w:hAnsi="宋体" w:cs="宋体"/>
          <w:kern w:val="0"/>
          <w:szCs w:val="21"/>
          <w:highlight w:val="none"/>
        </w:rPr>
      </w:pPr>
      <w:r>
        <w:rPr>
          <w:rFonts w:hint="eastAsia" w:ascii="宋体" w:hAnsi="宋体" w:cs="宋体"/>
          <w:kern w:val="0"/>
          <w:szCs w:val="21"/>
          <w:highlight w:val="none"/>
        </w:rPr>
        <w:t>备注：所有建议需以报告或建议书书面提出。</w:t>
      </w:r>
    </w:p>
    <w:p>
      <w:pPr>
        <w:numPr>
          <w:ilvl w:val="0"/>
          <w:numId w:val="103"/>
        </w:numPr>
        <w:shd w:val="clear"/>
        <w:adjustRightInd w:val="0"/>
        <w:snapToGrid w:val="0"/>
        <w:spacing w:line="360" w:lineRule="auto"/>
        <w:ind w:firstLine="0"/>
        <w:rPr>
          <w:rFonts w:ascii="宋体" w:hAnsi="宋体" w:cs="宋体"/>
          <w:b/>
          <w:kern w:val="0"/>
          <w:szCs w:val="21"/>
          <w:highlight w:val="none"/>
        </w:rPr>
      </w:pPr>
      <w:r>
        <w:rPr>
          <w:rFonts w:hint="eastAsia" w:ascii="宋体" w:hAnsi="宋体" w:cs="宋体"/>
          <w:b/>
          <w:kern w:val="0"/>
          <w:szCs w:val="21"/>
          <w:highlight w:val="none"/>
        </w:rPr>
        <w:t>其他事项</w:t>
      </w:r>
    </w:p>
    <w:p>
      <w:pPr>
        <w:numPr>
          <w:ilvl w:val="0"/>
          <w:numId w:val="11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配合园区要求完成以下工作：</w:t>
      </w:r>
    </w:p>
    <w:p>
      <w:pPr>
        <w:numPr>
          <w:ilvl w:val="0"/>
          <w:numId w:val="117"/>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定期抄录园区租户用水用电，建立园区能耗管理台账，包括但不限于每月的能耗表，配合实现园区的数据化管理；</w:t>
      </w:r>
    </w:p>
    <w:p>
      <w:pPr>
        <w:numPr>
          <w:ilvl w:val="0"/>
          <w:numId w:val="117"/>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配合甲方收缴园区租户租金、物业费、水电费；</w:t>
      </w:r>
    </w:p>
    <w:p>
      <w:pPr>
        <w:numPr>
          <w:ilvl w:val="0"/>
          <w:numId w:val="117"/>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配合甲方开展入驻企业清理等物业管理工作；</w:t>
      </w:r>
    </w:p>
    <w:p>
      <w:pPr>
        <w:numPr>
          <w:ilvl w:val="0"/>
          <w:numId w:val="117"/>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向园区企业派发各宣传资料及通知文件等资料，并做好签收记录。</w:t>
      </w:r>
    </w:p>
    <w:p>
      <w:pPr>
        <w:numPr>
          <w:ilvl w:val="0"/>
          <w:numId w:val="11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按要求做好防范各类传染病（非典、登革热及类似疫情）的防疫及应急工作。</w:t>
      </w:r>
    </w:p>
    <w:p>
      <w:pPr>
        <w:numPr>
          <w:ilvl w:val="0"/>
          <w:numId w:val="11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负责防范自然灾害（台风、洪水）等应急工作，配置必要人员值班。</w:t>
      </w:r>
    </w:p>
    <w:p>
      <w:pPr>
        <w:numPr>
          <w:ilvl w:val="0"/>
          <w:numId w:val="11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负责物管服务项目其它相关工作及园区提出的其他管理工作、任务和要求。</w:t>
      </w:r>
    </w:p>
    <w:p>
      <w:pPr>
        <w:numPr>
          <w:ilvl w:val="0"/>
          <w:numId w:val="11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如向园区租户提供有偿服务须经甲方同意，并将收费标准报甲方备案。</w:t>
      </w:r>
    </w:p>
    <w:p>
      <w:pPr>
        <w:numPr>
          <w:ilvl w:val="0"/>
          <w:numId w:val="11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配合甲方建立安全生产管理机制，配备专业（兼）安全管理人员（安全专员），协助建立安全生产记录和台账。</w:t>
      </w:r>
    </w:p>
    <w:p>
      <w:pPr>
        <w:numPr>
          <w:ilvl w:val="0"/>
          <w:numId w:val="11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建立全员培训制度和全员培训档案，每季度开展安全培训。</w:t>
      </w:r>
    </w:p>
    <w:p>
      <w:pPr>
        <w:numPr>
          <w:ilvl w:val="0"/>
          <w:numId w:val="116"/>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开展职业卫生培训，定期开展作业场所职业病危害因素监测和评价。</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kern w:val="0"/>
          <w:szCs w:val="21"/>
          <w:highlight w:val="none"/>
        </w:rPr>
      </w:pPr>
      <w:r>
        <w:rPr>
          <w:rFonts w:hint="eastAsia" w:ascii="宋体" w:hAnsi="宋体" w:cs="宋体"/>
          <w:b/>
          <w:kern w:val="0"/>
          <w:szCs w:val="21"/>
          <w:highlight w:val="none"/>
        </w:rPr>
        <w:t>人员要求</w:t>
      </w:r>
    </w:p>
    <w:p>
      <w:pPr>
        <w:numPr>
          <w:ilvl w:val="0"/>
          <w:numId w:val="118"/>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lang w:val="en-US" w:eastAsia="zh-CN"/>
        </w:rPr>
        <w:t>乙</w:t>
      </w:r>
      <w:r>
        <w:rPr>
          <w:rFonts w:hint="eastAsia" w:ascii="宋体" w:hAnsi="宋体" w:cs="宋体"/>
          <w:kern w:val="0"/>
          <w:szCs w:val="21"/>
          <w:highlight w:val="none"/>
        </w:rPr>
        <w:t>方日常管理须配置人数不少于39人的服务团队【其中</w:t>
      </w:r>
      <w:r>
        <w:rPr>
          <w:rFonts w:hint="eastAsia" w:ascii="宋体" w:hAnsi="宋体" w:cs="宋体"/>
          <w:kern w:val="0"/>
          <w:szCs w:val="21"/>
          <w:highlight w:val="none"/>
          <w:lang w:val="en-US" w:eastAsia="zh-CN"/>
        </w:rPr>
        <w:t>项目</w:t>
      </w:r>
      <w:r>
        <w:rPr>
          <w:rFonts w:hint="eastAsia" w:ascii="宋体" w:hAnsi="宋体" w:cs="宋体"/>
          <w:kern w:val="0"/>
          <w:szCs w:val="21"/>
          <w:highlight w:val="none"/>
        </w:rPr>
        <w:t>经理1人，安保人员不少于14人，工程技术人员不少于3人、客服不少于4人（其中会务接待客服人员不少于2人），保洁不少于15人、人事、出纳及运营不少于2人】。</w:t>
      </w:r>
    </w:p>
    <w:p>
      <w:pPr>
        <w:numPr>
          <w:ilvl w:val="0"/>
          <w:numId w:val="118"/>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乙方可根据实际需求对岗位提出调整设定，报甲方同意后方可实施，但总人数不得少于上述要求。乙方增加岗位人员不作限制，但甲方不会因乙方增加岗位人员数量，而对服务收费标准作出调整，如未经甲方同意擅自减少岗位编制且未在甲方要求整改的限期内补足的，除对当月物业考核进行扣分外，甲方有权额外扣减乙方的月度物业服务费用(每缺1人扣除当月物业服务费用的3%），直至乙方完成整改为止，乙方不得有任何异议。</w:t>
      </w:r>
    </w:p>
    <w:p>
      <w:pPr>
        <w:numPr>
          <w:ilvl w:val="0"/>
          <w:numId w:val="118"/>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签订合同后，乙方需在10个日历天内向甲方提供拟派驻本项目主要人员（项目经理、主管）的简历及相关职业资格证明、证书等甲方认为与本项目服务内容相关的资格材料，如甲方认为主要人员未能满足本项目需要的，可要求乙方进行更换，乙方需无条件配合。服务期间，乙方主要人员变更前需征得甲方同意，且更换的人员资格不得低于原有人员，项目经理须为乙方在编人员，</w:t>
      </w:r>
      <w:r>
        <w:rPr>
          <w:rFonts w:hint="eastAsia" w:ascii="宋体" w:hAnsi="宋体" w:cs="宋体"/>
          <w:kern w:val="0"/>
          <w:szCs w:val="21"/>
          <w:highlight w:val="none"/>
          <w:lang w:val="en-US" w:eastAsia="zh-CN"/>
        </w:rPr>
        <w:t>核心岗位</w:t>
      </w:r>
      <w:r>
        <w:rPr>
          <w:rFonts w:hint="eastAsia" w:ascii="宋体" w:hAnsi="宋体" w:cs="宋体"/>
          <w:kern w:val="0"/>
          <w:szCs w:val="21"/>
          <w:highlight w:val="none"/>
        </w:rPr>
        <w:t>人员休假须向甲方报备；</w:t>
      </w:r>
    </w:p>
    <w:p>
      <w:pPr>
        <w:numPr>
          <w:ilvl w:val="0"/>
          <w:numId w:val="118"/>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如甲方认为乙方派驻的人员不符合项目、合同要求的，甲方有权要求乙方在合理期限内无条件更换，乙方逾期更换的，视为该岗位缺岗，乙方应承担相应的违约责任。</w:t>
      </w:r>
    </w:p>
    <w:p>
      <w:pPr>
        <w:numPr>
          <w:ilvl w:val="0"/>
          <w:numId w:val="118"/>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乙方对所聘用人员严格审核，保证聘用人员无违法或犯罪记录、有相应岗位的上岗资格证，并按照劳动法和相关法律规定进行聘用和管理，工作期间遵守规章制度；</w:t>
      </w:r>
    </w:p>
    <w:p>
      <w:pPr>
        <w:numPr>
          <w:ilvl w:val="0"/>
          <w:numId w:val="118"/>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服务人员必须按照要求穿着统一整齐的工作服，统一佩戴标志，行为规范，服务主动、热情；工作服务不符合要求的，甲方有权要求做出调整，乙方应无条件配合；</w:t>
      </w:r>
    </w:p>
    <w:p>
      <w:pPr>
        <w:numPr>
          <w:ilvl w:val="0"/>
          <w:numId w:val="118"/>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乙方必须按法律、法规及有关政策规定为其服务人员购买社会保险，所聘人员的管理必须执行国家劳动法的相关规定；</w:t>
      </w:r>
    </w:p>
    <w:p>
      <w:pPr>
        <w:numPr>
          <w:ilvl w:val="0"/>
          <w:numId w:val="118"/>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乙方配备的所有人员的衣（工作服）、食、住、行等工作生活所需，由乙方自行解决并承担相关费用；</w:t>
      </w:r>
    </w:p>
    <w:p>
      <w:pPr>
        <w:numPr>
          <w:ilvl w:val="0"/>
          <w:numId w:val="118"/>
        </w:numPr>
        <w:shd w:val="clear"/>
        <w:adjustRightInd w:val="0"/>
        <w:snapToGrid w:val="0"/>
        <w:spacing w:line="360" w:lineRule="auto"/>
        <w:ind w:left="420" w:leftChars="200" w:firstLine="0"/>
        <w:rPr>
          <w:rFonts w:ascii="宋体" w:hAnsi="宋体" w:cs="宋体"/>
          <w:kern w:val="0"/>
          <w:szCs w:val="21"/>
          <w:highlight w:val="none"/>
        </w:rPr>
      </w:pPr>
      <w:r>
        <w:rPr>
          <w:rFonts w:hint="eastAsia" w:ascii="宋体" w:hAnsi="宋体" w:cs="宋体"/>
          <w:kern w:val="0"/>
          <w:szCs w:val="21"/>
          <w:highlight w:val="none"/>
        </w:rPr>
        <w:t>具体岗位及要求</w:t>
      </w:r>
    </w:p>
    <w:p>
      <w:p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核心岗位要求如下：</w:t>
      </w:r>
    </w:p>
    <w:p>
      <w:pPr>
        <w:numPr>
          <w:ilvl w:val="0"/>
          <w:numId w:val="119"/>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项目经理</w:t>
      </w:r>
      <w:r>
        <w:rPr>
          <w:rFonts w:hint="eastAsia" w:ascii="宋体" w:hAnsi="宋体" w:cs="宋体"/>
          <w:szCs w:val="21"/>
          <w:highlight w:val="none"/>
        </w:rPr>
        <w:t>（1名）</w:t>
      </w:r>
    </w:p>
    <w:p>
      <w:pPr>
        <w:numPr>
          <w:ilvl w:val="0"/>
          <w:numId w:val="120"/>
        </w:numPr>
        <w:shd w:val="clear"/>
        <w:adjustRightInd w:val="0"/>
        <w:snapToGrid w:val="0"/>
        <w:spacing w:line="360" w:lineRule="auto"/>
        <w:ind w:left="420" w:leftChars="200"/>
        <w:rPr>
          <w:rFonts w:ascii="宋体" w:hAnsi="宋体" w:cs="宋体"/>
          <w:szCs w:val="21"/>
          <w:highlight w:val="none"/>
        </w:rPr>
      </w:pPr>
      <w:r>
        <w:rPr>
          <w:rFonts w:hint="eastAsia" w:ascii="宋体" w:hAnsi="宋体" w:cs="宋体"/>
          <w:szCs w:val="21"/>
          <w:highlight w:val="none"/>
        </w:rPr>
        <w:t>具有本科（或以上）学历，5年以上高端写字楼或商业综合体物业管理服务经验，需在乙方处工作1年以上；</w:t>
      </w:r>
    </w:p>
    <w:p>
      <w:pPr>
        <w:numPr>
          <w:ilvl w:val="0"/>
          <w:numId w:val="120"/>
        </w:numPr>
        <w:shd w:val="clear"/>
        <w:adjustRightInd w:val="0"/>
        <w:snapToGrid w:val="0"/>
        <w:spacing w:line="360" w:lineRule="auto"/>
        <w:ind w:left="420" w:leftChars="200"/>
        <w:rPr>
          <w:rFonts w:ascii="宋体" w:hAnsi="宋体" w:cs="宋体"/>
          <w:szCs w:val="21"/>
          <w:highlight w:val="none"/>
        </w:rPr>
      </w:pPr>
      <w:r>
        <w:rPr>
          <w:rFonts w:hint="eastAsia" w:ascii="宋体" w:hAnsi="宋体" w:cs="宋体"/>
          <w:szCs w:val="21"/>
          <w:highlight w:val="none"/>
          <w:shd w:val="clear" w:color="auto" w:fill="FFFFFF"/>
        </w:rPr>
        <w:t>熟悉物业管理相关法律法规、相关的工作流程、内容和技术要求，具备物业全盘管理经验</w:t>
      </w:r>
      <w:r>
        <w:rPr>
          <w:rFonts w:hint="eastAsia" w:ascii="宋体" w:hAnsi="宋体" w:cs="宋体"/>
          <w:szCs w:val="21"/>
          <w:highlight w:val="none"/>
        </w:rPr>
        <w:t>；</w:t>
      </w:r>
    </w:p>
    <w:p>
      <w:pPr>
        <w:numPr>
          <w:ilvl w:val="0"/>
          <w:numId w:val="120"/>
        </w:numPr>
        <w:shd w:val="clear"/>
        <w:adjustRightInd w:val="0"/>
        <w:snapToGrid w:val="0"/>
        <w:spacing w:line="360" w:lineRule="auto"/>
        <w:ind w:left="420" w:leftChars="200"/>
        <w:rPr>
          <w:rFonts w:ascii="宋体" w:hAnsi="宋体" w:cs="宋体"/>
          <w:szCs w:val="21"/>
          <w:highlight w:val="none"/>
        </w:rPr>
      </w:pPr>
      <w:r>
        <w:rPr>
          <w:rFonts w:hint="eastAsia" w:ascii="宋体" w:hAnsi="宋体" w:cs="宋体"/>
          <w:szCs w:val="21"/>
          <w:highlight w:val="none"/>
        </w:rPr>
        <w:t>在物业服务品质保障、园区维护管理方面具丰富实践经验；</w:t>
      </w:r>
    </w:p>
    <w:p>
      <w:pPr>
        <w:numPr>
          <w:ilvl w:val="0"/>
          <w:numId w:val="120"/>
        </w:numPr>
        <w:shd w:val="clear"/>
        <w:adjustRightInd w:val="0"/>
        <w:snapToGrid w:val="0"/>
        <w:spacing w:line="360" w:lineRule="auto"/>
        <w:ind w:left="420" w:leftChars="200"/>
        <w:rPr>
          <w:rFonts w:ascii="宋体" w:hAnsi="宋体" w:cs="宋体"/>
          <w:szCs w:val="21"/>
          <w:highlight w:val="none"/>
        </w:rPr>
      </w:pPr>
      <w:r>
        <w:rPr>
          <w:rFonts w:hint="eastAsia" w:ascii="宋体" w:hAnsi="宋体" w:cs="宋体"/>
          <w:szCs w:val="21"/>
          <w:highlight w:val="none"/>
          <w:shd w:val="clear" w:color="auto" w:fill="FFFFFF"/>
        </w:rPr>
        <w:t>具备良好的沟通协调能力和团队管理能力，服务意识强、执行力强</w:t>
      </w:r>
      <w:r>
        <w:rPr>
          <w:rFonts w:hint="eastAsia" w:ascii="宋体" w:hAnsi="宋体" w:cs="宋体"/>
          <w:szCs w:val="21"/>
          <w:highlight w:val="none"/>
        </w:rPr>
        <w:t>。</w:t>
      </w:r>
    </w:p>
    <w:p>
      <w:pPr>
        <w:numPr>
          <w:ilvl w:val="0"/>
          <w:numId w:val="119"/>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安保负责人</w:t>
      </w:r>
      <w:r>
        <w:rPr>
          <w:rFonts w:hint="eastAsia" w:ascii="宋体" w:hAnsi="宋体" w:cs="宋体"/>
          <w:szCs w:val="21"/>
          <w:highlight w:val="none"/>
        </w:rPr>
        <w:t>（1名）</w:t>
      </w:r>
    </w:p>
    <w:p>
      <w:pPr>
        <w:numPr>
          <w:ilvl w:val="0"/>
          <w:numId w:val="121"/>
        </w:numPr>
        <w:shd w:val="clear"/>
        <w:adjustRightInd w:val="0"/>
        <w:snapToGrid w:val="0"/>
        <w:spacing w:line="360" w:lineRule="auto"/>
        <w:ind w:left="420" w:leftChars="200"/>
        <w:rPr>
          <w:rFonts w:ascii="宋体" w:hAnsi="宋体" w:cs="宋体"/>
          <w:szCs w:val="21"/>
          <w:highlight w:val="none"/>
        </w:rPr>
      </w:pPr>
      <w:r>
        <w:rPr>
          <w:rFonts w:hint="eastAsia" w:ascii="宋体" w:hAnsi="宋体" w:cs="宋体"/>
          <w:szCs w:val="21"/>
          <w:highlight w:val="none"/>
        </w:rPr>
        <w:t>具有大专（或以上）学历；</w:t>
      </w:r>
    </w:p>
    <w:p>
      <w:pPr>
        <w:numPr>
          <w:ilvl w:val="0"/>
          <w:numId w:val="121"/>
        </w:numPr>
        <w:shd w:val="clear"/>
        <w:adjustRightInd w:val="0"/>
        <w:snapToGrid w:val="0"/>
        <w:spacing w:line="360" w:lineRule="auto"/>
        <w:ind w:left="420" w:leftChars="200"/>
        <w:rPr>
          <w:rFonts w:ascii="宋体" w:hAnsi="宋体" w:cs="宋体"/>
          <w:szCs w:val="21"/>
          <w:highlight w:val="none"/>
        </w:rPr>
      </w:pPr>
      <w:r>
        <w:rPr>
          <w:rFonts w:hint="eastAsia" w:ascii="宋体" w:hAnsi="宋体" w:cs="宋体"/>
          <w:szCs w:val="21"/>
          <w:highlight w:val="none"/>
        </w:rPr>
        <w:t>具备5年以上安保服务从业经验，及2年以上写字楼或商业综合体物业服务经验，需在乙方处工作1年以上；</w:t>
      </w:r>
    </w:p>
    <w:p>
      <w:pPr>
        <w:numPr>
          <w:ilvl w:val="0"/>
          <w:numId w:val="121"/>
        </w:numPr>
        <w:shd w:val="clear"/>
        <w:adjustRightInd w:val="0"/>
        <w:snapToGrid w:val="0"/>
        <w:spacing w:line="360" w:lineRule="auto"/>
        <w:ind w:left="420" w:leftChars="200"/>
        <w:rPr>
          <w:rFonts w:ascii="宋体" w:hAnsi="宋体" w:cs="宋体"/>
          <w:highlight w:val="none"/>
        </w:rPr>
      </w:pPr>
      <w:r>
        <w:rPr>
          <w:rFonts w:hint="eastAsia" w:ascii="宋体" w:hAnsi="宋体" w:cs="宋体"/>
          <w:szCs w:val="21"/>
          <w:highlight w:val="none"/>
        </w:rPr>
        <w:t>责任心强，熟悉安全管理工作相关法律法规及工作流程，具备处理突发事件的能力；</w:t>
      </w:r>
    </w:p>
    <w:p>
      <w:pPr>
        <w:numPr>
          <w:ilvl w:val="0"/>
          <w:numId w:val="121"/>
        </w:numPr>
        <w:shd w:val="clear"/>
        <w:adjustRightInd w:val="0"/>
        <w:snapToGrid w:val="0"/>
        <w:spacing w:line="360" w:lineRule="auto"/>
        <w:ind w:left="420" w:leftChars="200"/>
        <w:rPr>
          <w:rFonts w:ascii="宋体" w:hAnsi="宋体" w:cs="宋体"/>
          <w:highlight w:val="none"/>
        </w:rPr>
      </w:pPr>
      <w:r>
        <w:rPr>
          <w:rFonts w:hint="eastAsia" w:ascii="宋体" w:hAnsi="宋体" w:cs="宋体"/>
          <w:highlight w:val="none"/>
        </w:rPr>
        <w:t>持有服务内容相关专业资格证、操作证或上岗证。</w:t>
      </w:r>
    </w:p>
    <w:p>
      <w:pPr>
        <w:numPr>
          <w:ilvl w:val="0"/>
          <w:numId w:val="119"/>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工程负责人</w:t>
      </w:r>
      <w:r>
        <w:rPr>
          <w:rFonts w:hint="eastAsia" w:ascii="宋体" w:hAnsi="宋体" w:cs="宋体"/>
          <w:szCs w:val="21"/>
          <w:highlight w:val="none"/>
        </w:rPr>
        <w:t>（1名）</w:t>
      </w:r>
    </w:p>
    <w:p>
      <w:pPr>
        <w:numPr>
          <w:ilvl w:val="0"/>
          <w:numId w:val="122"/>
        </w:numPr>
        <w:shd w:val="clear"/>
        <w:adjustRightInd w:val="0"/>
        <w:snapToGrid w:val="0"/>
        <w:spacing w:line="360" w:lineRule="auto"/>
        <w:ind w:left="420" w:leftChars="200"/>
        <w:rPr>
          <w:rFonts w:ascii="宋体" w:hAnsi="宋体" w:cs="宋体"/>
          <w:szCs w:val="21"/>
          <w:highlight w:val="none"/>
        </w:rPr>
      </w:pPr>
      <w:r>
        <w:rPr>
          <w:rFonts w:hint="eastAsia" w:ascii="宋体" w:hAnsi="宋体" w:cs="宋体"/>
          <w:szCs w:val="21"/>
          <w:highlight w:val="none"/>
        </w:rPr>
        <w:t>具有大专（或以上）学历；</w:t>
      </w:r>
    </w:p>
    <w:p>
      <w:pPr>
        <w:numPr>
          <w:ilvl w:val="0"/>
          <w:numId w:val="122"/>
        </w:numPr>
        <w:shd w:val="clear"/>
        <w:adjustRightInd w:val="0"/>
        <w:snapToGrid w:val="0"/>
        <w:spacing w:line="360" w:lineRule="auto"/>
        <w:ind w:left="420" w:leftChars="200"/>
        <w:rPr>
          <w:rFonts w:ascii="宋体" w:hAnsi="宋体" w:cs="宋体"/>
          <w:szCs w:val="21"/>
          <w:highlight w:val="none"/>
        </w:rPr>
      </w:pPr>
      <w:r>
        <w:rPr>
          <w:rFonts w:hint="eastAsia" w:ascii="宋体" w:hAnsi="宋体" w:cs="宋体"/>
          <w:szCs w:val="21"/>
          <w:highlight w:val="none"/>
        </w:rPr>
        <w:t>具备5年以上工程服务从业经验，及2年以上写字楼或商业综合体物业服务经验，需在乙方处工作1年以上；</w:t>
      </w:r>
    </w:p>
    <w:p>
      <w:pPr>
        <w:numPr>
          <w:ilvl w:val="0"/>
          <w:numId w:val="122"/>
        </w:numPr>
        <w:shd w:val="clear"/>
        <w:adjustRightInd w:val="0"/>
        <w:snapToGrid w:val="0"/>
        <w:spacing w:line="360" w:lineRule="auto"/>
        <w:ind w:left="420" w:leftChars="200"/>
        <w:rPr>
          <w:rFonts w:ascii="宋体" w:hAnsi="宋体" w:cs="宋体"/>
          <w:highlight w:val="none"/>
        </w:rPr>
      </w:pPr>
      <w:r>
        <w:rPr>
          <w:rFonts w:hint="eastAsia" w:ascii="宋体" w:hAnsi="宋体" w:cs="宋体"/>
          <w:szCs w:val="21"/>
          <w:highlight w:val="none"/>
        </w:rPr>
        <w:t>熟悉产业园区、商写楼宇工程设备设施的维护与保养周期，具备判断与处理故障的能力；</w:t>
      </w:r>
    </w:p>
    <w:p>
      <w:pPr>
        <w:numPr>
          <w:ilvl w:val="0"/>
          <w:numId w:val="122"/>
        </w:numPr>
        <w:shd w:val="clear"/>
        <w:adjustRightInd w:val="0"/>
        <w:snapToGrid w:val="0"/>
        <w:spacing w:line="360" w:lineRule="auto"/>
        <w:ind w:left="420" w:leftChars="200"/>
        <w:rPr>
          <w:rFonts w:ascii="宋体" w:hAnsi="宋体" w:cs="宋体"/>
          <w:highlight w:val="none"/>
        </w:rPr>
      </w:pPr>
      <w:r>
        <w:rPr>
          <w:rFonts w:hint="eastAsia" w:ascii="宋体" w:hAnsi="宋体" w:cs="宋体"/>
          <w:kern w:val="0"/>
          <w:szCs w:val="21"/>
          <w:highlight w:val="none"/>
        </w:rPr>
        <w:t>持有服务内容相关专业资格证、操作证或上岗证。</w:t>
      </w:r>
    </w:p>
    <w:p>
      <w:pPr>
        <w:numPr>
          <w:ilvl w:val="0"/>
          <w:numId w:val="119"/>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客服负责人</w:t>
      </w:r>
      <w:r>
        <w:rPr>
          <w:rFonts w:hint="eastAsia" w:ascii="宋体" w:hAnsi="宋体" w:cs="宋体"/>
          <w:szCs w:val="21"/>
          <w:highlight w:val="none"/>
        </w:rPr>
        <w:t>（1名）</w:t>
      </w:r>
    </w:p>
    <w:p>
      <w:pPr>
        <w:numPr>
          <w:ilvl w:val="0"/>
          <w:numId w:val="123"/>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szCs w:val="21"/>
          <w:highlight w:val="none"/>
        </w:rPr>
        <w:t>具有大专（或以上）学历</w:t>
      </w:r>
      <w:r>
        <w:rPr>
          <w:rFonts w:hint="eastAsia" w:ascii="宋体" w:hAnsi="宋体" w:cs="宋体"/>
          <w:kern w:val="0"/>
          <w:szCs w:val="21"/>
          <w:highlight w:val="none"/>
        </w:rPr>
        <w:t>；</w:t>
      </w:r>
    </w:p>
    <w:p>
      <w:pPr>
        <w:numPr>
          <w:ilvl w:val="0"/>
          <w:numId w:val="123"/>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具备5年以上相关客户服务从业经验，及2年以上写字楼或商业综合体物业服务经验，需在</w:t>
      </w:r>
      <w:r>
        <w:rPr>
          <w:rFonts w:hint="eastAsia" w:ascii="宋体" w:hAnsi="宋体" w:cs="宋体"/>
          <w:szCs w:val="21"/>
          <w:highlight w:val="none"/>
        </w:rPr>
        <w:t>乙方处</w:t>
      </w:r>
      <w:r>
        <w:rPr>
          <w:rFonts w:hint="eastAsia" w:ascii="宋体" w:hAnsi="宋体" w:cs="宋体"/>
          <w:kern w:val="0"/>
          <w:szCs w:val="21"/>
          <w:highlight w:val="none"/>
        </w:rPr>
        <w:t>工作1年以上；</w:t>
      </w:r>
    </w:p>
    <w:p>
      <w:pPr>
        <w:numPr>
          <w:ilvl w:val="0"/>
          <w:numId w:val="123"/>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形象气质佳，有良好沟通组织协调能力，在客户关系维护、投诉处理方面</w:t>
      </w:r>
      <w:r>
        <w:rPr>
          <w:rFonts w:hint="eastAsia" w:ascii="宋体" w:hAnsi="宋体" w:cs="宋体"/>
          <w:szCs w:val="21"/>
          <w:highlight w:val="none"/>
        </w:rPr>
        <w:t>具丰富实践经验</w:t>
      </w:r>
      <w:r>
        <w:rPr>
          <w:rFonts w:hint="eastAsia" w:ascii="宋体" w:hAnsi="宋体" w:cs="宋体"/>
          <w:kern w:val="0"/>
          <w:szCs w:val="21"/>
          <w:highlight w:val="none"/>
        </w:rPr>
        <w:t>；</w:t>
      </w:r>
    </w:p>
    <w:p>
      <w:pPr>
        <w:numPr>
          <w:ilvl w:val="0"/>
          <w:numId w:val="123"/>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国、粤语标准，满足一般接待、会议场合的外语沟通能力。</w:t>
      </w:r>
    </w:p>
    <w:p>
      <w:pPr>
        <w:numPr>
          <w:ilvl w:val="0"/>
          <w:numId w:val="119"/>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环境负责人</w:t>
      </w:r>
      <w:r>
        <w:rPr>
          <w:rFonts w:hint="eastAsia" w:ascii="宋体" w:hAnsi="宋体" w:cs="宋体"/>
          <w:szCs w:val="21"/>
          <w:highlight w:val="none"/>
        </w:rPr>
        <w:t>（1名）</w:t>
      </w:r>
    </w:p>
    <w:p>
      <w:pPr>
        <w:numPr>
          <w:ilvl w:val="0"/>
          <w:numId w:val="124"/>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具有大专（或以上）学历；</w:t>
      </w:r>
    </w:p>
    <w:p>
      <w:pPr>
        <w:numPr>
          <w:ilvl w:val="0"/>
          <w:numId w:val="124"/>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具备5年以上相关环境保洁服务从业经验，及2年以上写字楼或商业综合体物业服务经验，需要在</w:t>
      </w:r>
      <w:r>
        <w:rPr>
          <w:rFonts w:hint="eastAsia" w:ascii="宋体" w:hAnsi="宋体" w:cs="宋体"/>
          <w:szCs w:val="21"/>
          <w:highlight w:val="none"/>
        </w:rPr>
        <w:t>乙方处</w:t>
      </w:r>
      <w:r>
        <w:rPr>
          <w:rFonts w:hint="eastAsia" w:ascii="宋体" w:hAnsi="宋体" w:cs="宋体"/>
          <w:kern w:val="0"/>
          <w:szCs w:val="21"/>
          <w:highlight w:val="none"/>
        </w:rPr>
        <w:t>工作1年以上；</w:t>
      </w:r>
    </w:p>
    <w:p>
      <w:pPr>
        <w:numPr>
          <w:ilvl w:val="0"/>
          <w:numId w:val="124"/>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熟悉产业园区、商写楼宇环境板块工作流程，在</w:t>
      </w:r>
      <w:r>
        <w:rPr>
          <w:rFonts w:hint="eastAsia" w:ascii="宋体" w:hAnsi="宋体" w:cs="宋体"/>
          <w:szCs w:val="21"/>
          <w:highlight w:val="none"/>
          <w:shd w:val="clear" w:color="auto" w:fill="FFFFFF"/>
        </w:rPr>
        <w:t>绿化养护管理方面有丰富实践经验</w:t>
      </w:r>
      <w:r>
        <w:rPr>
          <w:rFonts w:hint="eastAsia" w:ascii="宋体" w:hAnsi="宋体" w:cs="宋体"/>
          <w:kern w:val="0"/>
          <w:szCs w:val="21"/>
          <w:highlight w:val="none"/>
        </w:rPr>
        <w:t>；</w:t>
      </w:r>
    </w:p>
    <w:p>
      <w:pPr>
        <w:numPr>
          <w:ilvl w:val="0"/>
          <w:numId w:val="124"/>
        </w:numPr>
        <w:shd w:val="clear"/>
        <w:adjustRightInd w:val="0"/>
        <w:snapToGrid w:val="0"/>
        <w:spacing w:line="360" w:lineRule="auto"/>
        <w:ind w:left="420" w:leftChars="200"/>
        <w:rPr>
          <w:rFonts w:ascii="宋体" w:hAnsi="宋体" w:cs="宋体"/>
          <w:kern w:val="0"/>
          <w:szCs w:val="21"/>
          <w:highlight w:val="none"/>
        </w:rPr>
      </w:pPr>
      <w:r>
        <w:rPr>
          <w:rFonts w:hint="eastAsia" w:ascii="宋体" w:hAnsi="宋体" w:cs="宋体"/>
          <w:kern w:val="0"/>
          <w:szCs w:val="21"/>
          <w:highlight w:val="none"/>
        </w:rPr>
        <w:t>持有服务内容相关专业资格证、操作证或上岗证。</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szCs w:val="21"/>
          <w:highlight w:val="none"/>
        </w:rPr>
      </w:pPr>
      <w:r>
        <w:rPr>
          <w:rFonts w:hint="eastAsia" w:ascii="宋体" w:hAnsi="宋体" w:cs="宋体"/>
          <w:b/>
          <w:szCs w:val="21"/>
          <w:highlight w:val="none"/>
        </w:rPr>
        <w:t>管理服务质量要求</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管理服务范围内无因乙方管理不当而发生重大刑事案件、重大交通及重大火灾等安全事故，社区监控范围内无被盗等治安案件的发生，无纵火、爆炸、投毒等恶性事（案）件发生、无外事纠纷、泄密等事（案）件发生。如因乙方管理不当导致上述事（案）件的发生，所产生的损失和责任全部由乙方承担。</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严格遵守有关消防管理规定，确保无因乙方管理不当而发生消防事故，消防设备完好率100%。如因乙方管理不当导致发生消防事故，所产生的损失和责任全部由乙方承担。</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园区内设施、机电设备无操作管理、使用责任事故发生。全部外包项目及园区内施工工程无因乙方监管不到位而发生安全事故。如因乙方管理不当导致发生安全事故，所产生的损失和责任全部由乙方承担。</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各项设施设备的维修保养工作，必须按甲方要求的时限，高效、保质、保量完成。</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除因基建质量、设备质量在保修期内等特殊原因外，房屋及配套设施、设备完好；零星维修、急修（5小时内完成）及时率达100%（专业设施除外）。</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管理范围内照明、化粪池、雨水井、污水井、排水管、明暗沟、停车场、道路完好。</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房屋及配套设施、设备完好率达100%；维修、急修（5小时内完成）及时率达100%。</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管理范围内照明、化粪池、雨水井、污水井、排水管、明暗沟、停车场、道路完好率100%。</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实行动态保洁，卫生清洁保洁率100%。</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物业管理服务满意率在80%以上；投诉处理率100%。</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根据甲方制定的园区管理相关规定和需求，乙方拟定详细的管理服务细则或拟定详细的管理服务的实施方案，且经甲方认可后方能实施。</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乙方一切管理服务工作的实施，必须以服从于甲方的工作需要为前提，以方便园区为原则。维修保养等工作一般情况下在物业使用人非工作时间内进行。</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在园区安排24小时保安不定时对进行安全巡查，检查园区内重点部位及各层门窗设施设备、水电、消防等情况。</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设施进行维护保养，严禁在辖区人行道上停车以及在办公楼外围张贴、摆卖或闲坐等。</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乙方不得擅自对管理的各设施进行占用和改变使用功能，如需在改、扩建或完善配套项目，须经甲方书面同意后批准方可启动和实施。</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经甲方书面授权，乙方对违反物业管理法规和规章制度的行为进行处理：包括责令停工、责令赔偿经济损失以及停水停电等措施。</w:t>
      </w:r>
    </w:p>
    <w:p>
      <w:pPr>
        <w:numPr>
          <w:ilvl w:val="0"/>
          <w:numId w:val="125"/>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管理设备设施投入要求：乙方进驻并开展正常工作所必备的其他物资装备：警用安防信息化对讲系统，物业智能信息化管理系统；交通工具、通讯工具、办公家具、办公设备、全部人员的服装、安防装备、维修工具、绿化工具、清洁工具等。</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kern w:val="0"/>
          <w:szCs w:val="21"/>
          <w:highlight w:val="none"/>
        </w:rPr>
      </w:pPr>
      <w:r>
        <w:rPr>
          <w:rFonts w:hint="eastAsia" w:ascii="宋体" w:hAnsi="宋体" w:cs="宋体"/>
          <w:b/>
          <w:szCs w:val="21"/>
          <w:highlight w:val="none"/>
        </w:rPr>
        <w:t>物业管理费用说明</w:t>
      </w:r>
    </w:p>
    <w:p>
      <w:pPr>
        <w:numPr>
          <w:ilvl w:val="0"/>
          <w:numId w:val="126"/>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费用包括乙方履行本合同物业日常管理服务所发生一切费用，包括但不限于：</w:t>
      </w:r>
    </w:p>
    <w:p>
      <w:pPr>
        <w:numPr>
          <w:ilvl w:val="0"/>
          <w:numId w:val="12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物管服务人员工资：正常工资、年终奖、法定节假日加班费等（需符合《中华人民共和国劳动法》工资保障制度）；</w:t>
      </w:r>
    </w:p>
    <w:p>
      <w:pPr>
        <w:numPr>
          <w:ilvl w:val="0"/>
          <w:numId w:val="12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物管服务人员福利保险：福利费（奖金补贴）、培训费、工会及活动经费、节假日慰问费、防寒御暑费、员工生日福利、节假日慰问金、经济补偿金、残疾人就业保障金、员工伙食补贴、佛山市规定的各种社会保险等，否则交由劳动部门处理；</w:t>
      </w:r>
    </w:p>
    <w:p>
      <w:pPr>
        <w:numPr>
          <w:ilvl w:val="0"/>
          <w:numId w:val="12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办公费用：办公室水电费、通讯费（含电话通讯费、传真费、网络费）、办公设备维护和办公用品、档案管理、差旅费、员工行政管理费用等；</w:t>
      </w:r>
    </w:p>
    <w:p>
      <w:pPr>
        <w:numPr>
          <w:ilvl w:val="0"/>
          <w:numId w:val="12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公共秩序（安防）费用：安防工具物料消耗（包括对讲机、自行车、警具、雪糕筒、水马、围栏、警戒线等消耗费用）、保安管理费（公安部门收取）、各种装备维护保养费、消防工具（含枪头、水带、灭火器充装等消耗费用）等；</w:t>
      </w:r>
    </w:p>
    <w:p>
      <w:pPr>
        <w:numPr>
          <w:ilvl w:val="0"/>
          <w:numId w:val="12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清洁、保洁、消杀费用：清洁工具、物料消耗费、化粪池清理（每年清掏不少于1次）、供水箱清洗（每季度清洗一次，以及根据使用情况更换零部件）、消杀四害（夏季每月不少于2次，冬季每月1次）和防治白蚁（每年不少于4次）、环卫设施的更换维护保养、垃圾清运及处理费、建筑物外墙及玻璃幕墙清洗费（每年清洗1次）、防范各类传染病（非典、登革热及类似疫情）的各项防疫及应急工作的费用；</w:t>
      </w:r>
    </w:p>
    <w:p>
      <w:pPr>
        <w:numPr>
          <w:ilvl w:val="0"/>
          <w:numId w:val="12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绿化维护保养费用：工具物料消耗、剪草机汽油费、施肥、病虫害防治费、苗木补种（包括草皮、树苗及支撑杆等消耗）、绿化垃圾清运费用；</w:t>
      </w:r>
    </w:p>
    <w:p>
      <w:pPr>
        <w:numPr>
          <w:ilvl w:val="0"/>
          <w:numId w:val="12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园区公共设施设备运行及保养费用，包含但不限于以下部分：</w:t>
      </w:r>
    </w:p>
    <w:p>
      <w:pPr>
        <w:numPr>
          <w:ilvl w:val="0"/>
          <w:numId w:val="12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公共照明设施维保费：路灯、景观灯、射灯、吊灯、壁灯、天花灯槽、开关线路等维修保养；</w:t>
      </w:r>
    </w:p>
    <w:p>
      <w:pPr>
        <w:numPr>
          <w:ilvl w:val="0"/>
          <w:numId w:val="12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消防系统维保费: 发电机、变压器、电箱及线路等的维修、更换、清洁、保养，消防远程监控系统设备等；</w:t>
      </w:r>
    </w:p>
    <w:p>
      <w:pPr>
        <w:numPr>
          <w:ilvl w:val="0"/>
          <w:numId w:val="12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智能化弱电系统维保费:门禁道闸、对讲及防盗视频等弱电系统、电子巡更系统的维修保养；</w:t>
      </w:r>
    </w:p>
    <w:p>
      <w:pPr>
        <w:numPr>
          <w:ilvl w:val="0"/>
          <w:numId w:val="12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水泵及供水管道维保费: 水泵、水泵控制柜、管道、阀门、水龙头、冲水阀、水箱、接水管等给水系统的维修、保养、更换、刷漆等；</w:t>
      </w:r>
    </w:p>
    <w:p>
      <w:pPr>
        <w:numPr>
          <w:ilvl w:val="0"/>
          <w:numId w:val="12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电梯维保费、年检费：园区内所有电梯日常维护、保养、维修，非核心零部件的更换，以及电梯年检；</w:t>
      </w:r>
    </w:p>
    <w:p>
      <w:pPr>
        <w:numPr>
          <w:ilvl w:val="0"/>
          <w:numId w:val="12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防雷设施维护费：园区内所有防雷设施的检测、保养、维修、更换等；</w:t>
      </w:r>
    </w:p>
    <w:p>
      <w:pPr>
        <w:numPr>
          <w:ilvl w:val="0"/>
          <w:numId w:val="12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设备设施及房屋附属设施维修费：设备设施的小修、中修，零星维修，门窗、公厕、公共装饰设施等公共设施的保养、维修等；</w:t>
      </w:r>
    </w:p>
    <w:p>
      <w:pPr>
        <w:numPr>
          <w:ilvl w:val="0"/>
          <w:numId w:val="12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空调系统：园区公共区域、管理办公区域空调设施的管理维护；</w:t>
      </w:r>
    </w:p>
    <w:p>
      <w:pPr>
        <w:numPr>
          <w:ilvl w:val="0"/>
          <w:numId w:val="12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道路和排污排水管沟维保费：室外道路路面、路沿石、广场砖、地砖、道路标线、其他交通设施及各种检查井、排水管、排污管等的；包括化粪池、雨水井、污水井、排水管、明暗沟的清疏费用；</w:t>
      </w:r>
    </w:p>
    <w:p>
      <w:pPr>
        <w:numPr>
          <w:ilvl w:val="0"/>
          <w:numId w:val="12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电房内高低压电力设施的维护费用；</w:t>
      </w:r>
    </w:p>
    <w:p>
      <w:pPr>
        <w:numPr>
          <w:ilvl w:val="0"/>
          <w:numId w:val="12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公共责任险：根据园区要求及实际需要配置公共责任险，保单中应包含但不限于：承担园区内因管理过失导致的意外事故的人身财产损失，累计赔偿限额不低于人民币200万元；注：保单中，甲方应为被保人或受益人，免赔额部分由甲方承担。</w:t>
      </w:r>
    </w:p>
    <w:p>
      <w:pPr>
        <w:numPr>
          <w:ilvl w:val="0"/>
          <w:numId w:val="12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开办费用清单：乙方进驻并开展正常工作所必备的物资装备费用主要有：交通工具、通讯工具、办公家具、办公设备、全部人员的服装、安防装备、维修工具、绿化工具、保洁工具；</w:t>
      </w:r>
    </w:p>
    <w:p>
      <w:pPr>
        <w:numPr>
          <w:ilvl w:val="0"/>
          <w:numId w:val="12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不可预测费用；</w:t>
      </w:r>
    </w:p>
    <w:p>
      <w:pPr>
        <w:numPr>
          <w:ilvl w:val="0"/>
          <w:numId w:val="12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管理酬金；</w:t>
      </w:r>
    </w:p>
    <w:p>
      <w:pPr>
        <w:numPr>
          <w:ilvl w:val="0"/>
          <w:numId w:val="128"/>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税金。</w:t>
      </w:r>
    </w:p>
    <w:p>
      <w:pPr>
        <w:numPr>
          <w:ilvl w:val="0"/>
          <w:numId w:val="12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费用不包括的事项：</w:t>
      </w:r>
    </w:p>
    <w:p>
      <w:pPr>
        <w:numPr>
          <w:ilvl w:val="0"/>
          <w:numId w:val="129"/>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单项人民币2000元以上（不包含人民币2000元）的物业、设施设备的维修费由甲方承担（该类项目由乙方向甲方作事项申请，确认由甲方负责实施的，在支付给乙方的月度物业服务费中予以扣除人民币2000元/项，每月5项封顶，因建筑原始结构问题导致的房屋漏水渗水问题、地下旧有供水管道破裂的维修事项、对园区环境设施实施的提升改造事项不作扣除）。</w:t>
      </w:r>
    </w:p>
    <w:p>
      <w:pPr>
        <w:numPr>
          <w:ilvl w:val="0"/>
          <w:numId w:val="129"/>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其它本项目服务内容外，需要甲方和乙方协商的费用。</w:t>
      </w:r>
    </w:p>
    <w:p>
      <w:pPr>
        <w:numPr>
          <w:ilvl w:val="0"/>
          <w:numId w:val="127"/>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费用说明：</w:t>
      </w:r>
    </w:p>
    <w:p>
      <w:pPr>
        <w:numPr>
          <w:ilvl w:val="0"/>
          <w:numId w:val="130"/>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特种设施或专业设施的维保托管事项，由乙方向甲方提交聘请第三方机构的相关资料（含专业资质），经甲方备案后，由乙方或委托第三方公司进行维保，费用由乙方承担；特种设施或专业设施维保托管单位在管理期内发生安全事故或劳资、合同纠纷的，所有责任由乙方全部承担；</w:t>
      </w:r>
    </w:p>
    <w:p>
      <w:pPr>
        <w:numPr>
          <w:ilvl w:val="0"/>
          <w:numId w:val="130"/>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园内发生物业损坏时，由乙方向甲方提交修复明细以及拟委托第三方公司的相关资质，经甲方备案后，由乙方自行或委托第三方公司施工，费用由乙方承担；第三方施工单位在施工期内发生安全事故、劳资、合同纠纷或对甲方、施工人员、第三人造成人身、财产损害的，所有责任由乙方全部承担。</w:t>
      </w:r>
    </w:p>
    <w:p>
      <w:pPr>
        <w:numPr>
          <w:ilvl w:val="0"/>
          <w:numId w:val="130"/>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注：物业维保费用包含：物业维修、保养及零件更换。</w:t>
      </w:r>
    </w:p>
    <w:p>
      <w:pPr>
        <w:numPr>
          <w:ilvl w:val="0"/>
          <w:numId w:val="130"/>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其他约定：</w:t>
      </w:r>
    </w:p>
    <w:p>
      <w:pPr>
        <w:numPr>
          <w:ilvl w:val="0"/>
          <w:numId w:val="130"/>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甲方免费提供配套办公用房,乙方使用上述房屋产生的费用（如办公费、水电费用、用品更换费用、设施设备购置费用等）自理。</w:t>
      </w:r>
    </w:p>
    <w:p>
      <w:pPr>
        <w:numPr>
          <w:ilvl w:val="0"/>
          <w:numId w:val="130"/>
        </w:numPr>
        <w:shd w:val="clear"/>
        <w:adjustRightInd w:val="0"/>
        <w:snapToGrid w:val="0"/>
        <w:spacing w:line="360" w:lineRule="auto"/>
        <w:rPr>
          <w:rFonts w:ascii="宋体" w:hAnsi="宋体" w:cs="宋体"/>
          <w:szCs w:val="21"/>
          <w:highlight w:val="none"/>
        </w:rPr>
      </w:pPr>
      <w:r>
        <w:rPr>
          <w:rFonts w:hint="eastAsia" w:ascii="宋体" w:hAnsi="宋体" w:cs="宋体"/>
          <w:kern w:val="0"/>
          <w:szCs w:val="21"/>
          <w:highlight w:val="none"/>
        </w:rPr>
        <w:t>由于乙方维护保养不善，物业损坏而导致甲方或第三方财产损失，由乙方承担相应责任及费用</w:t>
      </w:r>
      <w:r>
        <w:rPr>
          <w:rFonts w:hint="eastAsia" w:hAnsi="宋体" w:cs="宋体"/>
          <w:kern w:val="0"/>
          <w:szCs w:val="21"/>
          <w:highlight w:val="none"/>
        </w:rPr>
        <w:t>。</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szCs w:val="21"/>
          <w:highlight w:val="none"/>
        </w:rPr>
      </w:pPr>
      <w:r>
        <w:rPr>
          <w:rFonts w:hint="eastAsia" w:ascii="宋体" w:hAnsi="宋体" w:cs="宋体"/>
          <w:b/>
          <w:szCs w:val="21"/>
          <w:highlight w:val="none"/>
        </w:rPr>
        <w:t>物业管理工作绩效考核办法</w:t>
      </w:r>
    </w:p>
    <w:p>
      <w:pPr>
        <w:numPr>
          <w:ilvl w:val="0"/>
          <w:numId w:val="131"/>
        </w:numPr>
        <w:shd w:val="clear"/>
        <w:adjustRightInd w:val="0"/>
        <w:snapToGrid w:val="0"/>
        <w:spacing w:line="360" w:lineRule="auto"/>
        <w:ind w:left="-420"/>
        <w:rPr>
          <w:rFonts w:ascii="宋体" w:hAnsi="宋体" w:cs="宋体"/>
          <w:kern w:val="0"/>
          <w:szCs w:val="21"/>
          <w:highlight w:val="none"/>
        </w:rPr>
      </w:pPr>
      <w:r>
        <w:rPr>
          <w:rFonts w:hint="eastAsia" w:ascii="宋体" w:hAnsi="宋体" w:cs="宋体"/>
          <w:kern w:val="0"/>
          <w:szCs w:val="21"/>
          <w:highlight w:val="none"/>
        </w:rPr>
        <w:t>月度考核</w:t>
      </w:r>
    </w:p>
    <w:p>
      <w:pPr>
        <w:numPr>
          <w:ilvl w:val="0"/>
          <w:numId w:val="132"/>
        </w:numPr>
        <w:shd w:val="clear"/>
        <w:adjustRightInd w:val="0"/>
        <w:snapToGrid w:val="0"/>
        <w:spacing w:line="360" w:lineRule="auto"/>
        <w:ind w:hanging="5"/>
        <w:rPr>
          <w:rFonts w:ascii="宋体" w:hAnsi="宋体" w:cs="宋体"/>
          <w:szCs w:val="21"/>
          <w:highlight w:val="none"/>
        </w:rPr>
      </w:pPr>
      <w:r>
        <w:rPr>
          <w:rFonts w:hint="eastAsia" w:ascii="宋体" w:hAnsi="宋体" w:cs="宋体"/>
          <w:kern w:val="0"/>
          <w:szCs w:val="21"/>
          <w:highlight w:val="none"/>
        </w:rPr>
        <w:t>月度考核指标</w:t>
      </w:r>
    </w:p>
    <w:tbl>
      <w:tblPr>
        <w:tblStyle w:val="22"/>
        <w:tblW w:w="90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60"/>
        <w:gridCol w:w="743"/>
        <w:gridCol w:w="4177"/>
        <w:gridCol w:w="1376"/>
        <w:gridCol w:w="17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960" w:type="dxa"/>
            <w:tcBorders>
              <w:tl2br w:val="nil"/>
              <w:tr2bl w:val="nil"/>
            </w:tcBorders>
            <w:vAlign w:val="center"/>
          </w:tcPr>
          <w:p>
            <w:pPr>
              <w:shd w:val="clear"/>
              <w:jc w:val="center"/>
              <w:rPr>
                <w:rFonts w:ascii="宋体" w:hAnsi="宋体" w:cs="宋体"/>
                <w:b/>
                <w:szCs w:val="21"/>
                <w:highlight w:val="none"/>
              </w:rPr>
            </w:pPr>
            <w:r>
              <w:rPr>
                <w:rFonts w:hint="eastAsia" w:ascii="宋体" w:hAnsi="宋体" w:cs="宋体"/>
                <w:b/>
                <w:szCs w:val="21"/>
                <w:highlight w:val="none"/>
              </w:rPr>
              <w:t>类 别</w:t>
            </w:r>
          </w:p>
        </w:tc>
        <w:tc>
          <w:tcPr>
            <w:tcW w:w="743" w:type="dxa"/>
            <w:tcBorders>
              <w:tl2br w:val="nil"/>
              <w:tr2bl w:val="nil"/>
            </w:tcBorders>
            <w:vAlign w:val="center"/>
          </w:tcPr>
          <w:p>
            <w:pPr>
              <w:shd w:val="clear"/>
              <w:ind w:right="115"/>
              <w:jc w:val="center"/>
              <w:rPr>
                <w:rFonts w:ascii="宋体" w:hAnsi="宋体" w:cs="宋体"/>
                <w:szCs w:val="21"/>
                <w:highlight w:val="none"/>
              </w:rPr>
            </w:pPr>
            <w:r>
              <w:rPr>
                <w:rFonts w:hint="eastAsia" w:ascii="宋体" w:hAnsi="宋体" w:cs="宋体"/>
                <w:b/>
                <w:bCs/>
                <w:szCs w:val="21"/>
                <w:highlight w:val="none"/>
              </w:rPr>
              <w:t>序号</w:t>
            </w:r>
          </w:p>
        </w:tc>
        <w:tc>
          <w:tcPr>
            <w:tcW w:w="4177" w:type="dxa"/>
            <w:tcBorders>
              <w:tl2br w:val="nil"/>
              <w:tr2bl w:val="nil"/>
            </w:tcBorders>
            <w:vAlign w:val="center"/>
          </w:tcPr>
          <w:p>
            <w:pPr>
              <w:shd w:val="clear"/>
              <w:ind w:left="1620"/>
              <w:jc w:val="left"/>
              <w:rPr>
                <w:rFonts w:ascii="宋体" w:hAnsi="宋体" w:cs="宋体"/>
                <w:szCs w:val="21"/>
                <w:highlight w:val="none"/>
              </w:rPr>
            </w:pPr>
            <w:r>
              <w:rPr>
                <w:rFonts w:hint="eastAsia" w:ascii="宋体" w:hAnsi="宋体" w:cs="宋体"/>
                <w:b/>
                <w:bCs/>
                <w:szCs w:val="21"/>
                <w:highlight w:val="none"/>
              </w:rPr>
              <w:t>考核内容</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b/>
                <w:bCs/>
                <w:szCs w:val="21"/>
                <w:highlight w:val="none"/>
              </w:rPr>
              <w:t>扣减分数</w:t>
            </w:r>
          </w:p>
        </w:tc>
        <w:tc>
          <w:tcPr>
            <w:tcW w:w="1785" w:type="dxa"/>
            <w:tcBorders>
              <w:tl2br w:val="nil"/>
              <w:tr2bl w:val="nil"/>
            </w:tcBorders>
            <w:vAlign w:val="center"/>
          </w:tcPr>
          <w:p>
            <w:pPr>
              <w:shd w:val="clear"/>
              <w:ind w:left="175" w:hanging="175" w:hangingChars="83"/>
              <w:jc w:val="center"/>
              <w:rPr>
                <w:rFonts w:ascii="宋体" w:hAnsi="宋体" w:cs="宋体"/>
                <w:szCs w:val="21"/>
                <w:highlight w:val="none"/>
              </w:rPr>
            </w:pPr>
            <w:r>
              <w:rPr>
                <w:rFonts w:hint="eastAsia" w:ascii="宋体" w:hAnsi="宋体" w:cs="宋体"/>
                <w:b/>
                <w:bCs/>
                <w:szCs w:val="21"/>
                <w:highlight w:val="none"/>
              </w:rPr>
              <w:t>评分依据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960" w:type="dxa"/>
            <w:vMerge w:val="restart"/>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管理</w:t>
            </w:r>
          </w:p>
          <w:p>
            <w:pPr>
              <w:shd w:val="clear"/>
              <w:jc w:val="center"/>
              <w:rPr>
                <w:rFonts w:ascii="宋体" w:hAnsi="宋体" w:cs="宋体"/>
                <w:szCs w:val="21"/>
                <w:highlight w:val="none"/>
              </w:rPr>
            </w:pPr>
            <w:r>
              <w:rPr>
                <w:rFonts w:hint="eastAsia" w:ascii="宋体" w:hAnsi="宋体" w:cs="宋体"/>
                <w:szCs w:val="21"/>
                <w:highlight w:val="none"/>
              </w:rPr>
              <w:t>服务</w:t>
            </w:r>
          </w:p>
          <w:p>
            <w:pPr>
              <w:shd w:val="clear"/>
              <w:jc w:val="center"/>
              <w:rPr>
                <w:rFonts w:ascii="宋体" w:hAnsi="宋体" w:cs="宋体"/>
                <w:szCs w:val="21"/>
                <w:highlight w:val="none"/>
              </w:rPr>
            </w:pPr>
            <w:r>
              <w:rPr>
                <w:rFonts w:hint="eastAsia" w:ascii="宋体" w:hAnsi="宋体" w:cs="宋体"/>
                <w:szCs w:val="21"/>
                <w:highlight w:val="none"/>
              </w:rPr>
              <w:t>质量</w:t>
            </w: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物业服务不到位、不及时，被客户有效投诉，或对客户的相关投诉处理未跟踪解决。</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firstLine="105" w:firstLineChars="50"/>
              <w:jc w:val="center"/>
              <w:rPr>
                <w:rFonts w:ascii="宋体" w:hAnsi="宋体" w:cs="宋体"/>
                <w:szCs w:val="21"/>
                <w:highlight w:val="none"/>
              </w:rPr>
            </w:pPr>
            <w:r>
              <w:rPr>
                <w:rFonts w:hint="eastAsia" w:ascii="宋体" w:hAnsi="宋体" w:cs="宋体"/>
                <w:szCs w:val="21"/>
                <w:highlight w:val="none"/>
              </w:rPr>
              <w:t>客户投诉，调查属实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未定期对客户进行走访、回访和意见调查(每月5户)，无相关记录。</w:t>
            </w:r>
          </w:p>
        </w:tc>
        <w:tc>
          <w:tcPr>
            <w:tcW w:w="1376" w:type="dxa"/>
            <w:tcBorders>
              <w:tl2br w:val="nil"/>
              <w:tr2bl w:val="nil"/>
            </w:tcBorders>
            <w:vAlign w:val="center"/>
          </w:tcPr>
          <w:p>
            <w:pPr>
              <w:shd w:val="clear"/>
              <w:ind w:left="6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查被访客户及相关记录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97"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3</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办理客户入驻、接待装修申报及报修受理(当天)不及时。</w:t>
            </w:r>
          </w:p>
        </w:tc>
        <w:tc>
          <w:tcPr>
            <w:tcW w:w="1376" w:type="dxa"/>
            <w:tcBorders>
              <w:tl2br w:val="nil"/>
              <w:tr2bl w:val="nil"/>
            </w:tcBorders>
            <w:vAlign w:val="center"/>
          </w:tcPr>
          <w:p>
            <w:pPr>
              <w:shd w:val="clear"/>
              <w:ind w:left="6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客户投诉，调查属</w:t>
            </w:r>
          </w:p>
          <w:p>
            <w:pPr>
              <w:shd w:val="clear"/>
              <w:ind w:left="100"/>
              <w:jc w:val="center"/>
              <w:rPr>
                <w:rFonts w:ascii="宋体" w:hAnsi="宋体" w:cs="宋体"/>
                <w:szCs w:val="21"/>
                <w:highlight w:val="none"/>
              </w:rPr>
            </w:pPr>
            <w:r>
              <w:rPr>
                <w:rFonts w:hint="eastAsia" w:ascii="宋体" w:hAnsi="宋体" w:cs="宋体"/>
                <w:szCs w:val="21"/>
                <w:highlight w:val="none"/>
              </w:rPr>
              <w:t>实、查记录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4</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员工仪表仪容不整、行为不规范，未使用文明用语，不按规定制服着装、不佩带胸牌。</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定期检查和随机抽查培训记录、抽查现场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5</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未对员工定期进行业务培训。</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抽查培训记录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6</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未按要求、按时提交工作计划、工作报告、改进方案等</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定期检查和随机抽查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73"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7</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工作期间管理人员手机无法接通或不接听电话，对讲机呼叫无应答或对讲机处于关机状态。客服电话、24 小时服务电话长时间无法接通、无人接听</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8</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未经甲方同意更换项目经理、主管人员</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10分/次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9</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可能影响园区、客户经营的重大事项（如消防、安防、供水供电设施损坏、园区发生消防、安防、停水停电事件等）未报告或隐瞒不报</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10分/次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10</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未经甲方同意擅自减少岗位编制，或未按合同要求配足人员的。</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10分/次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960" w:type="dxa"/>
            <w:vMerge w:val="restart"/>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工作</w:t>
            </w:r>
          </w:p>
          <w:p>
            <w:pPr>
              <w:shd w:val="clear"/>
              <w:jc w:val="center"/>
              <w:rPr>
                <w:rFonts w:ascii="宋体" w:hAnsi="宋体" w:cs="宋体"/>
                <w:szCs w:val="21"/>
                <w:highlight w:val="none"/>
              </w:rPr>
            </w:pPr>
            <w:r>
              <w:rPr>
                <w:rFonts w:hint="eastAsia" w:ascii="宋体" w:hAnsi="宋体" w:cs="宋体"/>
                <w:szCs w:val="21"/>
                <w:highlight w:val="none"/>
              </w:rPr>
              <w:t>纪律</w:t>
            </w: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未按时完成交办的工作任务，酿成不良后果</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查记录通知、现场工作记录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73"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主管负责人督查不严，导致管理工作出现重大失误，影响甲方公司或园区形象、或造成较大经济损失</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3</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当班饮酒或酒后上班。 注：若给甲方、租户、第三方造成损失的，另行处理</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4</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当班期间串岗、脱岗、睡岗。注：若给甲方或租户造成损失的，另行处理</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5</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当班吵架、打架、赌博。 注：情节严重者另行处理</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6</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办公室内扎堆闲聊、上网游戏、看电影或在岗长时间聊私人电话</w:t>
            </w:r>
          </w:p>
        </w:tc>
        <w:tc>
          <w:tcPr>
            <w:tcW w:w="1376" w:type="dxa"/>
            <w:tcBorders>
              <w:tl2br w:val="nil"/>
              <w:tr2bl w:val="nil"/>
            </w:tcBorders>
            <w:vAlign w:val="center"/>
          </w:tcPr>
          <w:p>
            <w:pPr>
              <w:shd w:val="clear"/>
              <w:ind w:left="6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960" w:type="dxa"/>
            <w:vMerge w:val="continue"/>
            <w:tcBorders>
              <w:tl2br w:val="nil"/>
              <w:tr2bl w:val="nil"/>
            </w:tcBorders>
            <w:vAlign w:val="center"/>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7</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未做到每月自检资料完整</w:t>
            </w:r>
          </w:p>
        </w:tc>
        <w:tc>
          <w:tcPr>
            <w:tcW w:w="1376" w:type="dxa"/>
            <w:tcBorders>
              <w:tl2br w:val="nil"/>
              <w:tr2bl w:val="nil"/>
            </w:tcBorders>
            <w:vAlign w:val="center"/>
          </w:tcPr>
          <w:p>
            <w:pPr>
              <w:shd w:val="clear"/>
              <w:ind w:left="6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5" w:hRule="atLeast"/>
          <w:jc w:val="center"/>
        </w:trPr>
        <w:tc>
          <w:tcPr>
            <w:tcW w:w="960" w:type="dxa"/>
            <w:vMerge w:val="restart"/>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治安</w:t>
            </w:r>
          </w:p>
          <w:p>
            <w:pPr>
              <w:shd w:val="clear"/>
              <w:jc w:val="center"/>
              <w:rPr>
                <w:rFonts w:ascii="宋体" w:hAnsi="宋体" w:cs="宋体"/>
                <w:szCs w:val="21"/>
                <w:highlight w:val="none"/>
              </w:rPr>
            </w:pPr>
            <w:r>
              <w:rPr>
                <w:rFonts w:hint="eastAsia" w:ascii="宋体" w:hAnsi="宋体" w:cs="宋体"/>
                <w:szCs w:val="21"/>
                <w:highlight w:val="none"/>
              </w:rPr>
              <w:t>安全</w:t>
            </w:r>
          </w:p>
          <w:p>
            <w:pPr>
              <w:shd w:val="clear"/>
              <w:jc w:val="center"/>
              <w:rPr>
                <w:rFonts w:ascii="宋体" w:hAnsi="宋体" w:cs="宋体"/>
                <w:szCs w:val="21"/>
                <w:highlight w:val="none"/>
              </w:rPr>
            </w:pPr>
            <w:r>
              <w:rPr>
                <w:rFonts w:hint="eastAsia" w:ascii="宋体" w:hAnsi="宋体" w:cs="宋体"/>
                <w:szCs w:val="21"/>
                <w:highlight w:val="none"/>
              </w:rPr>
              <w:t>保卫</w:t>
            </w: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园区发生重大安全事故(实行一票否决制，并追究主要责任人和直接责任人的责任)</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100分/次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现场取证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97" w:hRule="atLeast"/>
          <w:jc w:val="center"/>
        </w:trPr>
        <w:tc>
          <w:tcPr>
            <w:tcW w:w="960" w:type="dxa"/>
            <w:vMerge w:val="continue"/>
            <w:tcBorders>
              <w:tl2br w:val="nil"/>
              <w:tr2bl w:val="nil"/>
            </w:tcBorders>
            <w:vAlign w:val="bottom"/>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未做好园区内防火、防盗、防爆炸及预防治安案件的“四防”工作，每发生一起案件</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10分/次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3</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对园区内存在的安全隐患排查不力、整改措施不到位或整改措施计划未按期完成</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调查现场及整改计划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4</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未执行（或执行不力）园区内安保的定期和不定期巡查，且巡查记录不全</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firstLine="105" w:firstLineChars="50"/>
              <w:jc w:val="center"/>
              <w:rPr>
                <w:rFonts w:ascii="宋体" w:hAnsi="宋体" w:cs="宋体"/>
                <w:szCs w:val="21"/>
                <w:highlight w:val="none"/>
              </w:rPr>
            </w:pPr>
            <w:r>
              <w:rPr>
                <w:rFonts w:hint="eastAsia" w:ascii="宋体" w:hAnsi="宋体" w:cs="宋体"/>
                <w:szCs w:val="21"/>
                <w:highlight w:val="none"/>
              </w:rPr>
              <w:t>现场随机抽查、</w:t>
            </w:r>
          </w:p>
          <w:p>
            <w:pPr>
              <w:shd w:val="clear"/>
              <w:ind w:firstLine="105" w:firstLineChars="50"/>
              <w:jc w:val="center"/>
              <w:rPr>
                <w:rFonts w:ascii="宋体" w:hAnsi="宋体" w:cs="宋体"/>
                <w:szCs w:val="21"/>
                <w:highlight w:val="none"/>
              </w:rPr>
            </w:pPr>
            <w:r>
              <w:rPr>
                <w:rFonts w:hint="eastAsia" w:ascii="宋体" w:hAnsi="宋体" w:cs="宋体"/>
                <w:szCs w:val="21"/>
                <w:highlight w:val="none"/>
              </w:rPr>
              <w:t>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3"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5</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园区交付保管的固有资产失窃、损坏（经核算后赔付或修复）</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6</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发生重大传染病疫情期间（或疫情防控期间），未按政府、园区相关规定做好防疫工作的</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960" w:type="dxa"/>
            <w:vMerge w:val="restart"/>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费用</w:t>
            </w:r>
          </w:p>
          <w:p>
            <w:pPr>
              <w:shd w:val="clear"/>
              <w:jc w:val="center"/>
              <w:rPr>
                <w:rFonts w:ascii="宋体" w:hAnsi="宋体" w:cs="宋体"/>
                <w:szCs w:val="21"/>
                <w:highlight w:val="none"/>
              </w:rPr>
            </w:pPr>
            <w:r>
              <w:rPr>
                <w:rFonts w:hint="eastAsia" w:ascii="宋体" w:hAnsi="宋体" w:cs="宋体"/>
                <w:szCs w:val="21"/>
                <w:highlight w:val="none"/>
              </w:rPr>
              <w:t>收取</w:t>
            </w: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未建立各项收费台账，未保管好发票及收据</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查收费台账、发票、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45" w:hRule="atLeast"/>
          <w:jc w:val="center"/>
        </w:trPr>
        <w:tc>
          <w:tcPr>
            <w:tcW w:w="960" w:type="dxa"/>
            <w:vMerge w:val="continue"/>
            <w:tcBorders>
              <w:tl2br w:val="nil"/>
              <w:tr2bl w:val="nil"/>
            </w:tcBorders>
            <w:vAlign w:val="bottom"/>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水电、租金、管理费催缴，客户通知情况、反馈情况未记录详细，未做到相关签收文件齐全，每月移交一次</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960" w:type="dxa"/>
            <w:vMerge w:val="continue"/>
            <w:tcBorders>
              <w:tl2br w:val="nil"/>
              <w:tr2bl w:val="nil"/>
            </w:tcBorders>
            <w:vAlign w:val="bottom"/>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3</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未及时准确上报欠缴费租户名单明细，延时或不准确。</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查报表并登记上报时间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4</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操作不当造成设备设施损坏，物品丢失</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6"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5</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擅自允许非工作人员进入岗亭或休息室内。</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00"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6</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未核对水电费抄表数据，出现错误导致客户投诉或拒缴水电费的(客户拒缴差额部分由物业管理公司负责协调解决)，每发生一起</w:t>
            </w:r>
          </w:p>
        </w:tc>
        <w:tc>
          <w:tcPr>
            <w:tcW w:w="1376" w:type="dxa"/>
            <w:tcBorders>
              <w:tl2br w:val="nil"/>
              <w:tr2bl w:val="nil"/>
            </w:tcBorders>
            <w:vAlign w:val="center"/>
          </w:tcPr>
          <w:p>
            <w:pPr>
              <w:shd w:val="clear"/>
              <w:ind w:firstLine="105" w:firstLineChars="5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firstLine="105" w:firstLineChars="50"/>
              <w:jc w:val="center"/>
              <w:rPr>
                <w:rFonts w:ascii="宋体" w:hAnsi="宋体" w:cs="宋体"/>
                <w:szCs w:val="21"/>
                <w:highlight w:val="none"/>
              </w:rPr>
            </w:pPr>
            <w:r>
              <w:rPr>
                <w:rFonts w:hint="eastAsia" w:ascii="宋体" w:hAnsi="宋体" w:cs="宋体"/>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vMerge w:val="restart"/>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7</w:t>
            </w:r>
          </w:p>
        </w:tc>
        <w:tc>
          <w:tcPr>
            <w:tcW w:w="4177" w:type="dxa"/>
            <w:vMerge w:val="restart"/>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贪污款项、乱收费</w:t>
            </w:r>
          </w:p>
        </w:tc>
        <w:tc>
          <w:tcPr>
            <w:tcW w:w="1376" w:type="dxa"/>
            <w:vMerge w:val="restart"/>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10分/次</w:t>
            </w:r>
          </w:p>
        </w:tc>
        <w:tc>
          <w:tcPr>
            <w:tcW w:w="1785" w:type="dxa"/>
            <w:vMerge w:val="restart"/>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有效投诉、现场取证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vMerge w:val="continue"/>
            <w:tcBorders>
              <w:tl2br w:val="nil"/>
              <w:tr2bl w:val="nil"/>
            </w:tcBorders>
            <w:vAlign w:val="center"/>
          </w:tcPr>
          <w:p>
            <w:pPr>
              <w:shd w:val="clear"/>
              <w:jc w:val="center"/>
              <w:rPr>
                <w:rFonts w:ascii="宋体" w:hAnsi="宋体" w:cs="宋体"/>
                <w:szCs w:val="21"/>
                <w:highlight w:val="none"/>
              </w:rPr>
            </w:pPr>
          </w:p>
        </w:tc>
        <w:tc>
          <w:tcPr>
            <w:tcW w:w="4177" w:type="dxa"/>
            <w:vMerge w:val="continue"/>
            <w:tcBorders>
              <w:tl2br w:val="nil"/>
              <w:tr2bl w:val="nil"/>
            </w:tcBorders>
            <w:vAlign w:val="center"/>
          </w:tcPr>
          <w:p>
            <w:pPr>
              <w:shd w:val="clear"/>
              <w:rPr>
                <w:rFonts w:ascii="宋体" w:hAnsi="宋体" w:cs="宋体"/>
                <w:szCs w:val="21"/>
                <w:highlight w:val="none"/>
              </w:rPr>
            </w:pPr>
          </w:p>
        </w:tc>
        <w:tc>
          <w:tcPr>
            <w:tcW w:w="1376" w:type="dxa"/>
            <w:vMerge w:val="continue"/>
            <w:tcBorders>
              <w:tl2br w:val="nil"/>
              <w:tr2bl w:val="nil"/>
            </w:tcBorders>
            <w:vAlign w:val="center"/>
          </w:tcPr>
          <w:p>
            <w:pPr>
              <w:shd w:val="clear"/>
              <w:jc w:val="center"/>
              <w:rPr>
                <w:rFonts w:ascii="宋体" w:hAnsi="宋体" w:cs="宋体"/>
                <w:szCs w:val="21"/>
                <w:highlight w:val="none"/>
              </w:rPr>
            </w:pPr>
          </w:p>
        </w:tc>
        <w:tc>
          <w:tcPr>
            <w:tcW w:w="1785" w:type="dxa"/>
            <w:vMerge w:val="continue"/>
            <w:tcBorders>
              <w:tl2br w:val="nil"/>
              <w:tr2bl w:val="nil"/>
            </w:tcBorders>
            <w:vAlign w:val="center"/>
          </w:tcPr>
          <w:p>
            <w:pPr>
              <w:shd w:val="clear"/>
              <w:ind w:left="100"/>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7" w:hRule="atLeast"/>
          <w:jc w:val="center"/>
        </w:trPr>
        <w:tc>
          <w:tcPr>
            <w:tcW w:w="960" w:type="dxa"/>
            <w:vMerge w:val="restart"/>
            <w:tcBorders>
              <w:tl2br w:val="nil"/>
              <w:tr2bl w:val="nil"/>
            </w:tcBorders>
            <w:vAlign w:val="center"/>
          </w:tcPr>
          <w:p>
            <w:pPr>
              <w:shd w:val="clear"/>
              <w:wordWrap w:val="0"/>
              <w:jc w:val="center"/>
              <w:rPr>
                <w:rFonts w:ascii="宋体" w:hAnsi="宋体" w:cs="宋体"/>
                <w:szCs w:val="21"/>
                <w:highlight w:val="none"/>
              </w:rPr>
            </w:pPr>
            <w:r>
              <w:rPr>
                <w:rFonts w:hint="eastAsia" w:ascii="宋体" w:hAnsi="宋体" w:cs="宋体"/>
                <w:szCs w:val="21"/>
                <w:highlight w:val="none"/>
              </w:rPr>
              <w:t>装修</w:t>
            </w:r>
          </w:p>
          <w:p>
            <w:pPr>
              <w:shd w:val="clear"/>
              <w:wordWrap w:val="0"/>
              <w:jc w:val="center"/>
              <w:rPr>
                <w:rFonts w:ascii="宋体" w:hAnsi="宋体" w:cs="宋体"/>
                <w:szCs w:val="21"/>
                <w:highlight w:val="none"/>
              </w:rPr>
            </w:pPr>
            <w:r>
              <w:rPr>
                <w:rFonts w:hint="eastAsia" w:ascii="宋体" w:hAnsi="宋体" w:cs="宋体"/>
                <w:szCs w:val="21"/>
                <w:highlight w:val="none"/>
              </w:rPr>
              <w:t>管理</w:t>
            </w:r>
          </w:p>
        </w:tc>
        <w:tc>
          <w:tcPr>
            <w:tcW w:w="743"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毛坯场所管理巡查不力，场地垃圾堆积、闲杂人员聚焦、设备设施失修</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查记录、方案和现场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 xml:space="preserve">未办装修许可手续，私自动工装修，物业因巡查不力未及时发现和制止，酿成不良后果 10分/次 查装修登记、巡查记录及现场  </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10分/次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查记录、方案和现场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3</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对违章装修、违章搭建和影响房屋结构安全的装修未第一时间阻止，未及时上报管理单位</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10分/次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4</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因违规装修、违规施工造成的重大安全事故</w:t>
            </w:r>
          </w:p>
        </w:tc>
        <w:tc>
          <w:tcPr>
            <w:tcW w:w="1376" w:type="dxa"/>
            <w:tcBorders>
              <w:tl2br w:val="nil"/>
              <w:tr2bl w:val="nil"/>
            </w:tcBorders>
            <w:vAlign w:val="center"/>
          </w:tcPr>
          <w:p>
            <w:pPr>
              <w:shd w:val="clear"/>
              <w:ind w:firstLine="105" w:firstLineChars="50"/>
              <w:jc w:val="center"/>
              <w:rPr>
                <w:rFonts w:ascii="宋体" w:hAnsi="宋体" w:cs="宋体"/>
                <w:szCs w:val="21"/>
                <w:highlight w:val="none"/>
              </w:rPr>
            </w:pPr>
            <w:r>
              <w:rPr>
                <w:rFonts w:hint="eastAsia" w:ascii="宋体" w:hAnsi="宋体" w:cs="宋体"/>
                <w:szCs w:val="21"/>
                <w:highlight w:val="none"/>
              </w:rPr>
              <w:t>100分/次</w:t>
            </w:r>
          </w:p>
        </w:tc>
        <w:tc>
          <w:tcPr>
            <w:tcW w:w="1785" w:type="dxa"/>
            <w:tcBorders>
              <w:tl2br w:val="nil"/>
              <w:tr2bl w:val="nil"/>
            </w:tcBorders>
            <w:vAlign w:val="center"/>
          </w:tcPr>
          <w:p>
            <w:pPr>
              <w:shd w:val="clear"/>
              <w:ind w:firstLine="105" w:firstLineChars="50"/>
              <w:jc w:val="center"/>
              <w:rPr>
                <w:rFonts w:ascii="宋体" w:hAnsi="宋体" w:cs="宋体"/>
                <w:szCs w:val="21"/>
                <w:highlight w:val="none"/>
              </w:rPr>
            </w:pPr>
            <w:r>
              <w:rPr>
                <w:rFonts w:hint="eastAsia" w:ascii="宋体" w:hAnsi="宋体" w:cs="宋体"/>
                <w:szCs w:val="21"/>
                <w:highlight w:val="none"/>
              </w:rPr>
              <w:t>查记录、方案和现场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0" w:hRule="atLeast"/>
          <w:jc w:val="center"/>
        </w:trPr>
        <w:tc>
          <w:tcPr>
            <w:tcW w:w="960" w:type="dxa"/>
            <w:vMerge w:val="restart"/>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消防</w:t>
            </w:r>
          </w:p>
          <w:p>
            <w:pPr>
              <w:shd w:val="clear"/>
              <w:jc w:val="center"/>
              <w:rPr>
                <w:rFonts w:ascii="宋体" w:hAnsi="宋体" w:cs="宋体"/>
                <w:szCs w:val="21"/>
                <w:highlight w:val="none"/>
              </w:rPr>
            </w:pPr>
            <w:r>
              <w:rPr>
                <w:rFonts w:hint="eastAsia" w:ascii="宋体" w:hAnsi="宋体" w:cs="宋体"/>
                <w:szCs w:val="21"/>
                <w:highlight w:val="none"/>
              </w:rPr>
              <w:t>管理</w:t>
            </w: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未按要求设立专门消防专员，专员未持证上岗。</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查现场并调查取证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48" w:hRule="atLeast"/>
          <w:jc w:val="center"/>
        </w:trPr>
        <w:tc>
          <w:tcPr>
            <w:tcW w:w="960" w:type="dxa"/>
            <w:vMerge w:val="continue"/>
            <w:tcBorders>
              <w:tl2br w:val="nil"/>
              <w:tr2bl w:val="nil"/>
            </w:tcBorders>
            <w:vAlign w:val="bottom"/>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未按要求建立义务消防员制，未明确火灾现场通信联络、灭火、疏散、救护、保卫等任务的负责人，未定期进行培训和演习</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现场随机抽查、 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92" w:hRule="atLeast"/>
          <w:jc w:val="center"/>
        </w:trPr>
        <w:tc>
          <w:tcPr>
            <w:tcW w:w="960" w:type="dxa"/>
            <w:vMerge w:val="continue"/>
            <w:tcBorders>
              <w:tl2br w:val="nil"/>
              <w:tr2bl w:val="nil"/>
            </w:tcBorders>
            <w:vAlign w:val="bottom"/>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3</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未按要求明确消防控制室管理值班人员的职责，未制订24小时值班制度和交接班的程序，值班记录不完整</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3"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4</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未按要求确保消防设施和消防电源始终处于正常运行状态；需要维修时，未采取相应的措施，维修完成后，未按要求立即恢复到正常运行状态的</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960" w:type="dxa"/>
            <w:vMerge w:val="restart"/>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工程</w:t>
            </w:r>
          </w:p>
          <w:p>
            <w:pPr>
              <w:shd w:val="clear"/>
              <w:jc w:val="center"/>
              <w:rPr>
                <w:rFonts w:ascii="宋体" w:hAnsi="宋体" w:cs="宋体"/>
                <w:szCs w:val="21"/>
                <w:highlight w:val="none"/>
              </w:rPr>
            </w:pPr>
            <w:r>
              <w:rPr>
                <w:rFonts w:hint="eastAsia" w:ascii="宋体" w:hAnsi="宋体" w:cs="宋体"/>
                <w:szCs w:val="21"/>
                <w:highlight w:val="none"/>
              </w:rPr>
              <w:t>管理</w:t>
            </w: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未按要求建立健全园区各项设施、设备检查和维修整改记录、台账</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2分/项</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查台账、记录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1"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设备设施实行定期专项检查，未定期检查或无记录的</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查检查记录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960" w:type="dxa"/>
            <w:vMerge w:val="continue"/>
            <w:tcBorders>
              <w:tl2br w:val="nil"/>
              <w:tr2bl w:val="nil"/>
            </w:tcBorders>
            <w:vAlign w:val="bottom"/>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3</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设施、设备维保不到位，不能正常使用</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4</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加强园区各类设施、设备的巡检，确保安全运行无事故，每发生一起重大安全事故。</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100分/次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查巡检记录和现场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5</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客户报修（报修内容属实为前提）处理及时率未达到100%</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2分/百分点</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查记录、现场、客户投诉调查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6</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各类设备定期维保完成率未达到100%</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2分/百分点</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查记录、现场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68" w:hRule="atLeast"/>
          <w:jc w:val="center"/>
        </w:trPr>
        <w:tc>
          <w:tcPr>
            <w:tcW w:w="960" w:type="dxa"/>
            <w:vMerge w:val="restart"/>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环境</w:t>
            </w:r>
          </w:p>
          <w:p>
            <w:pPr>
              <w:shd w:val="clear"/>
              <w:jc w:val="center"/>
              <w:rPr>
                <w:rFonts w:ascii="宋体" w:hAnsi="宋体" w:cs="宋体"/>
                <w:szCs w:val="21"/>
                <w:highlight w:val="none"/>
              </w:rPr>
            </w:pPr>
            <w:r>
              <w:rPr>
                <w:rFonts w:hint="eastAsia" w:ascii="宋体" w:hAnsi="宋体" w:cs="宋体"/>
                <w:szCs w:val="21"/>
                <w:highlight w:val="none"/>
              </w:rPr>
              <w:t>卫生</w:t>
            </w:r>
          </w:p>
          <w:p>
            <w:pPr>
              <w:shd w:val="clear"/>
              <w:jc w:val="center"/>
              <w:rPr>
                <w:rFonts w:ascii="宋体" w:hAnsi="宋体" w:cs="宋体"/>
                <w:szCs w:val="21"/>
                <w:highlight w:val="none"/>
              </w:rPr>
            </w:pPr>
            <w:r>
              <w:rPr>
                <w:rFonts w:hint="eastAsia" w:ascii="宋体" w:hAnsi="宋体" w:cs="宋体"/>
                <w:szCs w:val="21"/>
                <w:highlight w:val="none"/>
              </w:rPr>
              <w:t>绿化</w:t>
            </w: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保持园区主要干道、各楼道（包括楼道内墙壁、门窗等广告的清理）、洗手间、电梯轿箱、水景的清洁卫生，未按要求、未按期打扫、清理或明显不清洁</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960" w:type="dxa"/>
            <w:vMerge w:val="continue"/>
            <w:tcBorders>
              <w:tl2br w:val="nil"/>
              <w:tr2bl w:val="nil"/>
            </w:tcBorders>
            <w:vAlign w:val="bottom"/>
          </w:tcPr>
          <w:p>
            <w:pPr>
              <w:shd w:val="clear"/>
              <w:jc w:val="cente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楼道扶手及电梯轿箱抹擦和拖地，未按期打扫或明显不清洁</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定期检查或随机抽查现场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3</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地下停车场、草坪灯、楼宇门、信报箱等未按期打扫或明显不清洁</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p>
            <w:pPr>
              <w:shd w:val="clear"/>
              <w:jc w:val="center"/>
              <w:rPr>
                <w:rFonts w:ascii="宋体" w:hAnsi="宋体" w:cs="宋体"/>
                <w:szCs w:val="21"/>
                <w:highlight w:val="none"/>
              </w:rPr>
            </w:pP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4</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指示标牌、垃圾箱及园区走廊等地面有明显浮尘或污迹</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2分/项</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定期检查或随机抽查现场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4"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5</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因装修管理不力，装潢垃圾未按指定地点存放或未及时组织外运</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定期检查或随机抽查现场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9"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6</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未及时与环卫部门联系，对园区各垃圾池、箱定期及时清理</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定期检查或随机抽查现场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2"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7</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未定期清理屋顶露台，以防爆竹渣、塑</w:t>
            </w:r>
          </w:p>
          <w:p>
            <w:pPr>
              <w:shd w:val="clear"/>
              <w:rPr>
                <w:rFonts w:ascii="宋体" w:hAnsi="宋体" w:cs="宋体"/>
                <w:szCs w:val="21"/>
                <w:highlight w:val="none"/>
              </w:rPr>
            </w:pPr>
            <w:r>
              <w:rPr>
                <w:rFonts w:hint="eastAsia" w:ascii="宋体" w:hAnsi="宋体" w:cs="宋体"/>
                <w:szCs w:val="21"/>
                <w:highlight w:val="none"/>
              </w:rPr>
              <w:t>料袋等杂物堵塞下水口</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查记录、现场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4"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8</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未按要求加强园区绿化的护理，定期浇水、施肥、剪枝、治虫</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9</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未做好垃圾分类及创文工作（包括对园区租户的宣传，相关标识的张贴等），未及时按照有关部门新发布的工作要求进行调整导致园区被扣分的</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2分/次</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定期检查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960" w:type="dxa"/>
            <w:vMerge w:val="restart"/>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其他</w:t>
            </w:r>
          </w:p>
          <w:p>
            <w:pPr>
              <w:shd w:val="clear"/>
              <w:jc w:val="center"/>
              <w:rPr>
                <w:rFonts w:ascii="宋体" w:hAnsi="宋体" w:cs="宋体"/>
                <w:szCs w:val="21"/>
                <w:highlight w:val="none"/>
              </w:rPr>
            </w:pPr>
            <w:r>
              <w:rPr>
                <w:rFonts w:hint="eastAsia" w:ascii="宋体" w:hAnsi="宋体" w:cs="宋体"/>
                <w:szCs w:val="21"/>
                <w:highlight w:val="none"/>
              </w:rPr>
              <w:t>事项</w:t>
            </w:r>
          </w:p>
        </w:tc>
        <w:tc>
          <w:tcPr>
            <w:tcW w:w="743" w:type="dxa"/>
            <w:tcBorders>
              <w:tl2br w:val="nil"/>
              <w:tr2bl w:val="nil"/>
            </w:tcBorders>
            <w:vAlign w:val="center"/>
          </w:tcPr>
          <w:p>
            <w:pPr>
              <w:shd w:val="clear"/>
              <w:ind w:right="15"/>
              <w:jc w:val="center"/>
              <w:rPr>
                <w:rFonts w:ascii="宋体" w:hAnsi="宋体" w:cs="宋体"/>
                <w:szCs w:val="21"/>
                <w:highlight w:val="none"/>
              </w:rPr>
            </w:pPr>
            <w:r>
              <w:rPr>
                <w:rFonts w:hint="eastAsia" w:ascii="宋体" w:hAnsi="宋体" w:cs="宋体"/>
                <w:szCs w:val="21"/>
                <w:highlight w:val="none"/>
              </w:rPr>
              <w:t>1</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未履行或违反合同约定事项和管理要求事项，视情节轻重予以扣分</w:t>
            </w:r>
          </w:p>
        </w:tc>
        <w:tc>
          <w:tcPr>
            <w:tcW w:w="1376"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5-10分/项</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抽查、查记录、现场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960" w:type="dxa"/>
            <w:vMerge w:val="continue"/>
            <w:tcBorders>
              <w:tl2br w:val="nil"/>
              <w:tr2bl w:val="nil"/>
            </w:tcBorders>
            <w:vAlign w:val="bottom"/>
          </w:tcPr>
          <w:p>
            <w:pPr>
              <w:shd w:val="clear"/>
              <w:rPr>
                <w:rFonts w:ascii="宋体" w:hAnsi="宋体" w:cs="宋体"/>
                <w:szCs w:val="21"/>
                <w:highlight w:val="none"/>
              </w:rPr>
            </w:pPr>
          </w:p>
        </w:tc>
        <w:tc>
          <w:tcPr>
            <w:tcW w:w="743"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2</w:t>
            </w:r>
          </w:p>
        </w:tc>
        <w:tc>
          <w:tcPr>
            <w:tcW w:w="4177"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对上述扣分事项，发出整改通知后未及时进行整改或采取整改措施的</w:t>
            </w:r>
          </w:p>
        </w:tc>
        <w:tc>
          <w:tcPr>
            <w:tcW w:w="1376" w:type="dxa"/>
            <w:tcBorders>
              <w:tl2br w:val="nil"/>
              <w:tr2bl w:val="nil"/>
            </w:tcBorders>
            <w:vAlign w:val="center"/>
          </w:tcPr>
          <w:p>
            <w:pPr>
              <w:shd w:val="clear"/>
              <w:jc w:val="center"/>
              <w:rPr>
                <w:rFonts w:ascii="宋体" w:hAnsi="宋体" w:cs="宋体"/>
                <w:szCs w:val="21"/>
                <w:highlight w:val="none"/>
              </w:rPr>
            </w:pPr>
            <w:r>
              <w:rPr>
                <w:rFonts w:hint="eastAsia" w:ascii="宋体" w:hAnsi="宋体" w:cs="宋体"/>
                <w:szCs w:val="21"/>
                <w:highlight w:val="none"/>
              </w:rPr>
              <w:t>5-10分/项</w:t>
            </w:r>
          </w:p>
        </w:tc>
        <w:tc>
          <w:tcPr>
            <w:tcW w:w="1785" w:type="dxa"/>
            <w:tcBorders>
              <w:tl2br w:val="nil"/>
              <w:tr2bl w:val="nil"/>
            </w:tcBorders>
            <w:vAlign w:val="center"/>
          </w:tcPr>
          <w:p>
            <w:pPr>
              <w:shd w:val="clear"/>
              <w:ind w:left="100"/>
              <w:jc w:val="center"/>
              <w:rPr>
                <w:rFonts w:ascii="宋体" w:hAnsi="宋体" w:cs="宋体"/>
                <w:szCs w:val="21"/>
                <w:highlight w:val="none"/>
              </w:rPr>
            </w:pPr>
            <w:r>
              <w:rPr>
                <w:rFonts w:hint="eastAsia" w:ascii="宋体" w:hAnsi="宋体" w:cs="宋体"/>
                <w:szCs w:val="21"/>
                <w:highlight w:val="none"/>
              </w:rPr>
              <w:t>查记录</w:t>
            </w:r>
          </w:p>
        </w:tc>
      </w:tr>
    </w:tbl>
    <w:p>
      <w:pPr>
        <w:numPr>
          <w:ilvl w:val="0"/>
          <w:numId w:val="13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检查发现问题时，由甲方直接扣分和发出整改通知。检查扣分和整改通知以甲方或甲方授权代表确认签名为准，</w:t>
      </w:r>
      <w:bookmarkStart w:id="102" w:name="_Hlk132577884"/>
      <w:r>
        <w:rPr>
          <w:rFonts w:hint="eastAsia" w:ascii="宋体" w:hAnsi="宋体" w:cs="宋体"/>
          <w:kern w:val="0"/>
          <w:szCs w:val="21"/>
          <w:highlight w:val="none"/>
        </w:rPr>
        <w:t>乙方或其指派服务人员</w:t>
      </w:r>
      <w:bookmarkEnd w:id="102"/>
      <w:r>
        <w:rPr>
          <w:rFonts w:hint="eastAsia" w:ascii="宋体" w:hAnsi="宋体" w:cs="宋体"/>
          <w:kern w:val="0"/>
          <w:szCs w:val="21"/>
          <w:highlight w:val="none"/>
        </w:rPr>
        <w:t>无须签名确认。</w:t>
      </w:r>
      <w:bookmarkStart w:id="103" w:name="_Hlk132577825"/>
      <w:r>
        <w:rPr>
          <w:rFonts w:hint="eastAsia" w:ascii="宋体" w:hAnsi="宋体" w:cs="宋体"/>
          <w:kern w:val="0"/>
          <w:szCs w:val="21"/>
          <w:highlight w:val="none"/>
        </w:rPr>
        <w:t>评核记录：物业日常工作的现场检查、记录表格、现场问答、客户投诉、视频图片、电子通讯等记录。</w:t>
      </w:r>
      <w:bookmarkEnd w:id="103"/>
    </w:p>
    <w:p>
      <w:pPr>
        <w:numPr>
          <w:ilvl w:val="0"/>
          <w:numId w:val="132"/>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以上考核标准，甲方有权根据合同约定的服务内容、园区管理的实际需要对考核标准内容作出相应调整修改，甲方调整修改考核标准后应及时通知乙方，如乙方存在异议应自收到通知后两个工作日内提出，否则视为乙方同意甲方的调整修改意见。</w:t>
      </w:r>
    </w:p>
    <w:p>
      <w:pPr>
        <w:numPr>
          <w:ilvl w:val="0"/>
          <w:numId w:val="132"/>
        </w:numPr>
        <w:shd w:val="clear"/>
        <w:adjustRightInd w:val="0"/>
        <w:snapToGrid w:val="0"/>
        <w:spacing w:line="360" w:lineRule="auto"/>
        <w:ind w:hanging="5"/>
        <w:rPr>
          <w:rFonts w:ascii="宋体" w:hAnsi="宋体" w:cs="宋体"/>
          <w:kern w:val="0"/>
          <w:szCs w:val="21"/>
          <w:highlight w:val="none"/>
        </w:rPr>
      </w:pPr>
      <w:bookmarkStart w:id="104" w:name="_Hlk132577922"/>
      <w:r>
        <w:rPr>
          <w:rFonts w:hint="eastAsia" w:ascii="宋体" w:hAnsi="宋体" w:cs="宋体"/>
          <w:kern w:val="0"/>
          <w:szCs w:val="21"/>
          <w:highlight w:val="none"/>
        </w:rPr>
        <w:t>甲方每月定期组织有关代表（甲方员工代表、园区运营单位代表、乙方员工代表）依据考核标准对乙方服务质量进行全面考核，</w:t>
      </w:r>
      <w:bookmarkEnd w:id="104"/>
      <w:r>
        <w:rPr>
          <w:rFonts w:hint="eastAsia" w:ascii="宋体" w:hAnsi="宋体" w:cs="宋体"/>
          <w:kern w:val="0"/>
          <w:szCs w:val="21"/>
          <w:highlight w:val="none"/>
        </w:rPr>
        <w:t>根据考核指标逐项打分，对存在问题下发书面整改通知书，并可附带提供证言、照片、监控记录、刷卡记录等。每次检查总分为100分，考核组对照考核标准逐条逐项进行量化打分，最低为0分。</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处罚办法：</w:t>
      </w:r>
    </w:p>
    <w:p>
      <w:pPr>
        <w:numPr>
          <w:ilvl w:val="0"/>
          <w:numId w:val="133"/>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得分 88—90分（不含）的，责令整改，并写出书面整改报告。</w:t>
      </w:r>
    </w:p>
    <w:p>
      <w:pPr>
        <w:numPr>
          <w:ilvl w:val="0"/>
          <w:numId w:val="133"/>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得分 80—88分（不含）的，除了责令其整改，写出书面整改报告之外，扣除当月物业管理费用总额的10%。</w:t>
      </w:r>
    </w:p>
    <w:p>
      <w:pPr>
        <w:numPr>
          <w:ilvl w:val="0"/>
          <w:numId w:val="133"/>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得分 70—80分（不含）的，除了责令其整改，写出书面整改报告之外，扣除当月物业管理费用总额的20%。</w:t>
      </w:r>
    </w:p>
    <w:p>
      <w:pPr>
        <w:numPr>
          <w:ilvl w:val="0"/>
          <w:numId w:val="133"/>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得分不满70分，除了责令其整改，写出书面整改报告之外，扣除当月物业管理费用总额的30%。</w:t>
      </w:r>
    </w:p>
    <w:p>
      <w:pPr>
        <w:numPr>
          <w:ilvl w:val="0"/>
          <w:numId w:val="133"/>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连续两个月得分不满80分，甲方有权要求乙方撤换项目经理或相应工作主管负责人，所产生的费用及责任由乙方承担。</w:t>
      </w:r>
    </w:p>
    <w:p>
      <w:pPr>
        <w:numPr>
          <w:ilvl w:val="0"/>
          <w:numId w:val="133"/>
        </w:numPr>
        <w:shd w:val="clear"/>
        <w:adjustRightInd w:val="0"/>
        <w:snapToGrid w:val="0"/>
        <w:spacing w:line="360" w:lineRule="auto"/>
        <w:ind w:hanging="5"/>
        <w:rPr>
          <w:rFonts w:ascii="宋体" w:hAnsi="宋体" w:cs="宋体"/>
          <w:kern w:val="0"/>
          <w:szCs w:val="21"/>
          <w:highlight w:val="none"/>
        </w:rPr>
      </w:pPr>
      <w:r>
        <w:rPr>
          <w:rFonts w:hint="eastAsia" w:ascii="宋体" w:hAnsi="宋体" w:cs="宋体"/>
          <w:kern w:val="0"/>
          <w:szCs w:val="21"/>
          <w:highlight w:val="none"/>
        </w:rPr>
        <w:t>一个合同年内累计有三个月得分不满70分的，除扣除相应物业管理费用外，甲方有权单方解除合同并不予退还履约保证金而无需承担任何违约责任，乙方须与甲方聘请的新物业管理服务企业办妥相关的交接手续。</w:t>
      </w:r>
    </w:p>
    <w:p>
      <w:pPr>
        <w:numPr>
          <w:ilvl w:val="0"/>
          <w:numId w:val="131"/>
        </w:numPr>
        <w:shd w:val="clear"/>
        <w:adjustRightInd w:val="0"/>
        <w:snapToGrid w:val="0"/>
        <w:spacing w:line="360" w:lineRule="auto"/>
        <w:rPr>
          <w:rFonts w:ascii="宋体" w:hAnsi="宋体" w:cs="宋体"/>
          <w:kern w:val="0"/>
          <w:szCs w:val="21"/>
          <w:highlight w:val="none"/>
        </w:rPr>
      </w:pPr>
      <w:r>
        <w:rPr>
          <w:rFonts w:hint="eastAsia" w:ascii="宋体" w:hAnsi="宋体" w:cs="宋体"/>
          <w:kern w:val="0"/>
          <w:szCs w:val="21"/>
          <w:highlight w:val="none"/>
        </w:rPr>
        <w:t>年度考核</w:t>
      </w:r>
    </w:p>
    <w:p>
      <w:pPr>
        <w:shd w:val="clear"/>
        <w:adjustRightInd w:val="0"/>
        <w:snapToGrid w:val="0"/>
        <w:spacing w:line="360" w:lineRule="auto"/>
        <w:ind w:left="359" w:leftChars="171" w:firstLine="472" w:firstLineChars="225"/>
        <w:rPr>
          <w:rFonts w:ascii="宋体" w:hAnsi="宋体" w:cs="宋体"/>
          <w:kern w:val="0"/>
          <w:szCs w:val="21"/>
          <w:highlight w:val="none"/>
        </w:rPr>
      </w:pPr>
      <w:r>
        <w:rPr>
          <w:rFonts w:hint="eastAsia" w:ascii="宋体" w:hAnsi="宋体" w:cs="宋体"/>
          <w:kern w:val="0"/>
          <w:szCs w:val="21"/>
          <w:highlight w:val="none"/>
        </w:rPr>
        <w:t>甲方每合同年年末制定并组织向企业发放《物业管理服务满意度调查表》，园区租户通过调查表反映乙方的工作情况。每次调查满意度最高值100%，园区租户对乙方的工作情况平均满意率低于80%的，甲方有权单方解除合同并不予退还履约保证金而无需承担任何违约责任，乙方须与甲方聘请的新物业管理服务企业办妥相关的交接手续。</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szCs w:val="21"/>
          <w:highlight w:val="none"/>
        </w:rPr>
      </w:pPr>
      <w:r>
        <w:rPr>
          <w:rFonts w:hint="eastAsia" w:ascii="宋体" w:hAnsi="宋体" w:cs="宋体"/>
          <w:b/>
          <w:szCs w:val="21"/>
          <w:highlight w:val="none"/>
        </w:rPr>
        <w:t>其他要求</w:t>
      </w:r>
    </w:p>
    <w:p>
      <w:pPr>
        <w:numPr>
          <w:ilvl w:val="0"/>
          <w:numId w:val="134"/>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如乙方的人员出现违法违规行为，乙方应把处理方案以及处理结果以书面形式送达甲方备案。</w:t>
      </w:r>
    </w:p>
    <w:p>
      <w:pPr>
        <w:numPr>
          <w:ilvl w:val="0"/>
          <w:numId w:val="134"/>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乙方应不定时组织人员的培训工作，提升工作人员的工作素质和质量。</w:t>
      </w:r>
    </w:p>
    <w:p>
      <w:pPr>
        <w:numPr>
          <w:ilvl w:val="0"/>
          <w:numId w:val="134"/>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乙方要准时支付工作人员的工资，如因乙方原因拖欠工资或发生劳动争议纠纷等一切责任由乙方承担，与甲方无关。</w:t>
      </w:r>
    </w:p>
    <w:p>
      <w:pPr>
        <w:numPr>
          <w:ilvl w:val="0"/>
          <w:numId w:val="134"/>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乙方要按相关法律法规规定为工作人员购买社保及保险，乙方工作人员在工作期间因各类事故导致的人身伤害，由乙方全部承担，与甲方无关。</w:t>
      </w:r>
    </w:p>
    <w:p>
      <w:pPr>
        <w:numPr>
          <w:ilvl w:val="0"/>
          <w:numId w:val="134"/>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乙方不得把项目转包、转让予第三方公司或分公司，否则甲方有权单方解除合同并没收履约保证金而无需承担任何违约责任，乙方须与甲方聘请的新物业管理服务企业办妥相关的交接手续。如履约保证金不足以赔偿甲方损失时，甲方还有权继续对乙方进行追讨。</w:t>
      </w:r>
    </w:p>
    <w:p>
      <w:pPr>
        <w:numPr>
          <w:ilvl w:val="0"/>
          <w:numId w:val="134"/>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经甲方同意，乙方可委托专业公司对甲方设备、设施、维护、维修、保养及承担本物业的专项维护、管理与服务业务，但不得将本项目的管理责任转让给第三方，同时乙方应保证甲方相关设施、设备的正常管理、运行，有关费用已计入本合同总价，超出部分由乙方承担。</w:t>
      </w:r>
    </w:p>
    <w:p>
      <w:pPr>
        <w:numPr>
          <w:ilvl w:val="0"/>
          <w:numId w:val="134"/>
        </w:numPr>
        <w:shd w:val="clear"/>
        <w:adjustRightInd w:val="0"/>
        <w:snapToGrid w:val="0"/>
        <w:spacing w:line="360" w:lineRule="auto"/>
        <w:ind w:firstLine="0"/>
        <w:rPr>
          <w:rFonts w:ascii="宋体" w:hAnsi="宋体" w:cs="宋体"/>
          <w:kern w:val="0"/>
          <w:szCs w:val="21"/>
          <w:highlight w:val="none"/>
        </w:rPr>
      </w:pPr>
      <w:r>
        <w:rPr>
          <w:rFonts w:hint="eastAsia" w:ascii="宋体" w:hAnsi="宋体" w:cs="宋体"/>
          <w:kern w:val="0"/>
          <w:szCs w:val="21"/>
          <w:highlight w:val="none"/>
        </w:rPr>
        <w:t>合同履行期间及合同解除或终止后，</w:t>
      </w:r>
      <w:r>
        <w:rPr>
          <w:rFonts w:hint="eastAsia" w:hAnsi="宋体" w:cs="宋体"/>
          <w:kern w:val="0"/>
          <w:szCs w:val="21"/>
          <w:highlight w:val="none"/>
        </w:rPr>
        <w:t>乙方</w:t>
      </w:r>
      <w:r>
        <w:rPr>
          <w:rFonts w:hint="eastAsia" w:ascii="宋体" w:hAnsi="宋体" w:cs="宋体"/>
          <w:kern w:val="0"/>
          <w:szCs w:val="21"/>
          <w:highlight w:val="none"/>
        </w:rPr>
        <w:t>因自身合同纠纷或劳资纠纷等问题及相关法律责任与</w:t>
      </w:r>
      <w:r>
        <w:rPr>
          <w:rFonts w:hint="eastAsia" w:hAnsi="宋体" w:cs="宋体"/>
          <w:kern w:val="0"/>
          <w:szCs w:val="21"/>
          <w:highlight w:val="none"/>
        </w:rPr>
        <w:t>甲方</w:t>
      </w:r>
      <w:r>
        <w:rPr>
          <w:rFonts w:hint="eastAsia" w:ascii="宋体" w:hAnsi="宋体" w:cs="宋体"/>
          <w:kern w:val="0"/>
          <w:szCs w:val="21"/>
          <w:highlight w:val="none"/>
        </w:rPr>
        <w:t>无关，由</w:t>
      </w:r>
      <w:r>
        <w:rPr>
          <w:rFonts w:hint="eastAsia" w:hAnsi="宋体" w:cs="宋体"/>
          <w:kern w:val="0"/>
          <w:szCs w:val="21"/>
          <w:highlight w:val="none"/>
        </w:rPr>
        <w:t>乙方</w:t>
      </w:r>
      <w:r>
        <w:rPr>
          <w:rFonts w:hint="eastAsia" w:ascii="宋体" w:hAnsi="宋体" w:cs="宋体"/>
          <w:kern w:val="0"/>
          <w:szCs w:val="21"/>
          <w:highlight w:val="none"/>
        </w:rPr>
        <w:t>自行解决。若上述问题对</w:t>
      </w:r>
      <w:r>
        <w:rPr>
          <w:rFonts w:hint="eastAsia" w:hAnsi="宋体" w:cs="宋体"/>
          <w:kern w:val="0"/>
          <w:szCs w:val="21"/>
          <w:highlight w:val="none"/>
        </w:rPr>
        <w:t>甲方</w:t>
      </w:r>
      <w:r>
        <w:rPr>
          <w:rFonts w:hint="eastAsia" w:ascii="宋体" w:hAnsi="宋体" w:cs="宋体"/>
          <w:kern w:val="0"/>
          <w:szCs w:val="21"/>
          <w:highlight w:val="none"/>
        </w:rPr>
        <w:t>、园区入驻企业正常经营造成影响的，</w:t>
      </w:r>
      <w:r>
        <w:rPr>
          <w:rFonts w:hint="eastAsia" w:hAnsi="宋体" w:cs="宋体"/>
          <w:kern w:val="0"/>
          <w:szCs w:val="21"/>
          <w:highlight w:val="none"/>
        </w:rPr>
        <w:t>甲方</w:t>
      </w:r>
      <w:r>
        <w:rPr>
          <w:rFonts w:hint="eastAsia" w:ascii="宋体" w:hAnsi="宋体" w:cs="宋体"/>
          <w:kern w:val="0"/>
          <w:szCs w:val="21"/>
          <w:highlight w:val="none"/>
        </w:rPr>
        <w:t>有权向</w:t>
      </w:r>
      <w:r>
        <w:rPr>
          <w:rFonts w:hint="eastAsia" w:hAnsi="宋体" w:cs="宋体"/>
          <w:kern w:val="0"/>
          <w:szCs w:val="21"/>
          <w:highlight w:val="none"/>
        </w:rPr>
        <w:t>乙方</w:t>
      </w:r>
      <w:r>
        <w:rPr>
          <w:rFonts w:hint="eastAsia" w:ascii="宋体" w:hAnsi="宋体" w:cs="宋体"/>
          <w:kern w:val="0"/>
          <w:szCs w:val="21"/>
          <w:highlight w:val="none"/>
        </w:rPr>
        <w:t>追究相关法律责任，由此造成的</w:t>
      </w:r>
      <w:r>
        <w:rPr>
          <w:rFonts w:hint="eastAsia" w:hAnsi="宋体" w:cs="宋体"/>
          <w:kern w:val="0"/>
          <w:szCs w:val="21"/>
          <w:highlight w:val="none"/>
        </w:rPr>
        <w:t>甲方</w:t>
      </w:r>
      <w:r>
        <w:rPr>
          <w:rFonts w:hint="eastAsia" w:ascii="宋体" w:hAnsi="宋体" w:cs="宋体"/>
          <w:kern w:val="0"/>
          <w:szCs w:val="21"/>
          <w:highlight w:val="none"/>
        </w:rPr>
        <w:t>经济损失、园区入驻企业经济损失由</w:t>
      </w:r>
      <w:r>
        <w:rPr>
          <w:rFonts w:hint="eastAsia" w:hAnsi="宋体" w:cs="宋体"/>
          <w:kern w:val="0"/>
          <w:szCs w:val="21"/>
          <w:highlight w:val="none"/>
        </w:rPr>
        <w:t>乙方</w:t>
      </w:r>
      <w:r>
        <w:rPr>
          <w:rFonts w:hint="eastAsia" w:ascii="宋体" w:hAnsi="宋体" w:cs="宋体"/>
          <w:kern w:val="0"/>
          <w:szCs w:val="21"/>
          <w:highlight w:val="none"/>
        </w:rPr>
        <w:t>承担。</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szCs w:val="21"/>
          <w:highlight w:val="none"/>
        </w:rPr>
      </w:pPr>
      <w:r>
        <w:rPr>
          <w:rFonts w:hint="eastAsia" w:ascii="宋体" w:hAnsi="宋体" w:cs="宋体"/>
          <w:b/>
          <w:szCs w:val="21"/>
          <w:highlight w:val="none"/>
        </w:rPr>
        <w:t>履约保证金</w:t>
      </w:r>
    </w:p>
    <w:p>
      <w:pPr>
        <w:numPr>
          <w:ilvl w:val="0"/>
          <w:numId w:val="135"/>
        </w:numPr>
        <w:shd w:val="clear"/>
        <w:wordWrap w:val="0"/>
        <w:spacing w:line="360" w:lineRule="auto"/>
        <w:ind w:firstLine="0"/>
        <w:rPr>
          <w:rFonts w:ascii="宋体" w:hAnsi="宋体" w:cs="宋体"/>
          <w:szCs w:val="21"/>
          <w:highlight w:val="none"/>
        </w:rPr>
      </w:pPr>
      <w:r>
        <w:rPr>
          <w:rFonts w:hint="eastAsia" w:ascii="宋体" w:hAnsi="宋体" w:cs="宋体"/>
          <w:szCs w:val="21"/>
          <w:highlight w:val="none"/>
        </w:rPr>
        <w:t>乙方需在合同签订之日起10个工作日内将履约保证金</w:t>
      </w:r>
      <w:r>
        <w:rPr>
          <w:rFonts w:hint="eastAsia" w:ascii="宋体" w:hAnsi="宋体" w:cs="宋体"/>
          <w:szCs w:val="21"/>
          <w:highlight w:val="none"/>
          <w:u w:val="single"/>
        </w:rPr>
        <w:t xml:space="preserve">人民币                </w:t>
      </w:r>
      <w:r>
        <w:rPr>
          <w:rFonts w:hint="eastAsia" w:ascii="宋体" w:hAnsi="宋体" w:cs="宋体"/>
          <w:szCs w:val="21"/>
          <w:highlight w:val="none"/>
        </w:rPr>
        <w:t>（￥</w:t>
      </w:r>
      <w:r>
        <w:rPr>
          <w:rFonts w:hint="eastAsia" w:ascii="宋体" w:hAnsi="宋体" w:cs="宋体"/>
          <w:szCs w:val="21"/>
          <w:highlight w:val="none"/>
          <w:u w:val="single"/>
        </w:rPr>
        <w:t xml:space="preserve">             元</w:t>
      </w:r>
      <w:r>
        <w:rPr>
          <w:rFonts w:hint="eastAsia" w:ascii="宋体" w:hAnsi="宋体" w:cs="宋体"/>
          <w:szCs w:val="21"/>
          <w:highlight w:val="none"/>
        </w:rPr>
        <w:t>）（合同总价的5%）汇至甲方指定账户，甲方收取履约保证金后应向乙方开具收款凭证。合同终止后在满足合同相关条款规定且乙方已切实履行与本项目有关的涉及人、财、物、事的所有责任与义务，且合同期满并完成结算和移交工作（包括但不限于租赁物业装修资料，电梯、电房、可修复电器设备设施、消防器材、绿化、消杀等日常维护及检查工作记录）经甲方确认</w:t>
      </w:r>
      <w:r>
        <w:rPr>
          <w:rFonts w:hint="eastAsia" w:ascii="宋体" w:hAnsi="宋体" w:cs="宋体"/>
          <w:szCs w:val="21"/>
          <w:highlight w:val="none"/>
          <w:lang w:val="en-US" w:eastAsia="zh-CN"/>
        </w:rPr>
        <w:t>之日起的</w:t>
      </w:r>
      <w:r>
        <w:rPr>
          <w:rFonts w:hint="eastAsia" w:ascii="宋体" w:hAnsi="宋体" w:cs="宋体"/>
          <w:szCs w:val="21"/>
          <w:highlight w:val="none"/>
        </w:rPr>
        <w:t>60 天内</w:t>
      </w:r>
      <w:r>
        <w:rPr>
          <w:rFonts w:hint="eastAsia" w:ascii="宋体" w:hAnsi="宋体" w:cs="宋体"/>
          <w:szCs w:val="21"/>
          <w:highlight w:val="none"/>
          <w:lang w:eastAsia="zh-CN"/>
        </w:rPr>
        <w:t>，</w:t>
      </w:r>
      <w:r>
        <w:rPr>
          <w:rFonts w:hint="eastAsia" w:ascii="宋体" w:hAnsi="宋体" w:cs="宋体"/>
          <w:szCs w:val="21"/>
          <w:highlight w:val="none"/>
          <w:lang w:val="en-US" w:eastAsia="zh-CN"/>
        </w:rPr>
        <w:t>乙方</w:t>
      </w:r>
      <w:r>
        <w:rPr>
          <w:rFonts w:hint="eastAsia" w:ascii="宋体" w:hAnsi="宋体" w:cs="宋体"/>
          <w:szCs w:val="21"/>
          <w:highlight w:val="none"/>
        </w:rPr>
        <w:t>须携带收款凭证原件</w:t>
      </w:r>
      <w:r>
        <w:rPr>
          <w:rFonts w:hint="eastAsia" w:ascii="宋体" w:hAnsi="宋体" w:cs="宋体"/>
          <w:szCs w:val="21"/>
          <w:highlight w:val="none"/>
          <w:lang w:val="en-US" w:eastAsia="zh-CN"/>
        </w:rPr>
        <w:t>提交给甲方</w:t>
      </w:r>
      <w:r>
        <w:rPr>
          <w:rFonts w:hint="eastAsia" w:ascii="宋体" w:hAnsi="宋体" w:cs="宋体"/>
          <w:szCs w:val="21"/>
          <w:highlight w:val="none"/>
        </w:rPr>
        <w:t>，甲方应将履约保证金不计利息划回乙方账户。</w:t>
      </w:r>
    </w:p>
    <w:p>
      <w:pPr>
        <w:numPr>
          <w:ilvl w:val="0"/>
          <w:numId w:val="135"/>
        </w:numPr>
        <w:shd w:val="clear"/>
        <w:wordWrap w:val="0"/>
        <w:spacing w:line="360" w:lineRule="auto"/>
        <w:ind w:firstLine="0"/>
        <w:rPr>
          <w:rFonts w:ascii="宋体" w:hAnsi="宋体" w:cs="宋体"/>
          <w:szCs w:val="21"/>
          <w:highlight w:val="none"/>
        </w:rPr>
      </w:pPr>
      <w:r>
        <w:rPr>
          <w:rFonts w:hint="eastAsia" w:ascii="宋体" w:hAnsi="宋体" w:cs="宋体"/>
          <w:szCs w:val="21"/>
          <w:highlight w:val="none"/>
        </w:rPr>
        <w:t>合同终止后若乙方有意拖延、拒绝履行与本项目有关的涉及人、财、物、事等方面责任与义务或处理不力时，甲方有权动用履约保证金，解决前述相关事项问题和偿付甲方因此造成的损失，乙方不得有异议。若履约保证金不足以偿付上述解决、处理费用以及甲方的损失时，乙方应继续承担赔偿责任。</w:t>
      </w:r>
    </w:p>
    <w:p>
      <w:pPr>
        <w:numPr>
          <w:ilvl w:val="0"/>
          <w:numId w:val="135"/>
        </w:numPr>
        <w:shd w:val="clear"/>
        <w:wordWrap w:val="0"/>
        <w:spacing w:line="360" w:lineRule="auto"/>
        <w:ind w:firstLine="0"/>
        <w:rPr>
          <w:rFonts w:ascii="宋体" w:hAnsi="宋体" w:cs="宋体"/>
          <w:szCs w:val="21"/>
          <w:highlight w:val="none"/>
        </w:rPr>
      </w:pPr>
      <w:r>
        <w:rPr>
          <w:rFonts w:hint="eastAsia" w:ascii="宋体" w:hAnsi="宋体" w:cs="宋体"/>
          <w:szCs w:val="21"/>
          <w:highlight w:val="none"/>
        </w:rPr>
        <w:t>乙方必须在签订合同生效、收到甲方进场通知后</w:t>
      </w:r>
      <w:r>
        <w:rPr>
          <w:rFonts w:hint="eastAsia" w:ascii="宋体" w:hAnsi="宋体" w:cs="宋体"/>
          <w:szCs w:val="21"/>
          <w:highlight w:val="none"/>
          <w:lang w:val="en-US" w:eastAsia="zh-CN"/>
        </w:rPr>
        <w:t>15</w:t>
      </w:r>
      <w:r>
        <w:rPr>
          <w:rFonts w:hint="eastAsia" w:ascii="宋体" w:hAnsi="宋体" w:cs="宋体"/>
          <w:szCs w:val="21"/>
          <w:highlight w:val="none"/>
        </w:rPr>
        <w:t>个日历天内按甲方要求配置齐全全部人员、车辆和设备，同时承诺上述全部人员、车辆和设备必须专门用于本项目。否则，甲方有权没收乙方的履约保证金，并解除合同。</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szCs w:val="21"/>
          <w:highlight w:val="none"/>
        </w:rPr>
      </w:pPr>
      <w:r>
        <w:rPr>
          <w:rFonts w:hint="eastAsia" w:ascii="宋体" w:hAnsi="宋体" w:cs="宋体"/>
          <w:b/>
          <w:szCs w:val="21"/>
          <w:highlight w:val="none"/>
        </w:rPr>
        <w:t>违约责任与赔偿损失</w:t>
      </w:r>
    </w:p>
    <w:p>
      <w:pPr>
        <w:numPr>
          <w:ilvl w:val="0"/>
          <w:numId w:val="136"/>
        </w:numPr>
        <w:shd w:val="clear"/>
        <w:tabs>
          <w:tab w:val="left" w:pos="425"/>
        </w:tabs>
        <w:adjustRightInd w:val="0"/>
        <w:snapToGrid w:val="0"/>
        <w:spacing w:line="360" w:lineRule="auto"/>
        <w:ind w:left="0" w:firstLine="0"/>
        <w:rPr>
          <w:rFonts w:ascii="宋体" w:hAnsi="宋体" w:cs="宋体"/>
          <w:szCs w:val="21"/>
          <w:highlight w:val="none"/>
        </w:rPr>
      </w:pPr>
      <w:r>
        <w:rPr>
          <w:rFonts w:hint="eastAsia" w:ascii="宋体" w:hAnsi="宋体" w:cs="宋体"/>
          <w:szCs w:val="21"/>
          <w:highlight w:val="none"/>
        </w:rPr>
        <w:t>乙方提供的服务不符合采购文件、报价文件或本合同规定的，甲方有权拒绝接受服务，并且乙方须向甲方支付本合同总价15%的违约金，经催告整改之日起15日内，乙方仍未整改完毕提供符合约定的服务的，甲方有权解除合同，不再向乙方支付物业服务费并没收履约保证金，由此造成的甲方经济损失由乙方承担。</w:t>
      </w:r>
    </w:p>
    <w:p>
      <w:pPr>
        <w:numPr>
          <w:ilvl w:val="0"/>
          <w:numId w:val="136"/>
        </w:numPr>
        <w:shd w:val="clear"/>
        <w:tabs>
          <w:tab w:val="left" w:pos="425"/>
        </w:tabs>
        <w:adjustRightInd w:val="0"/>
        <w:snapToGrid w:val="0"/>
        <w:spacing w:line="360" w:lineRule="auto"/>
        <w:ind w:left="0" w:firstLine="0"/>
        <w:rPr>
          <w:rFonts w:ascii="宋体" w:hAnsi="宋体" w:cs="宋体"/>
          <w:szCs w:val="21"/>
          <w:highlight w:val="none"/>
        </w:rPr>
      </w:pPr>
      <w:r>
        <w:rPr>
          <w:rFonts w:hint="eastAsia" w:ascii="宋体" w:hAnsi="宋体" w:cs="宋体"/>
          <w:szCs w:val="21"/>
          <w:highlight w:val="none"/>
        </w:rPr>
        <w:t>乙方未能按本合同约定的时间提供服务的，从逾期之日起每日按本合同总价3‰的数额向甲方支付违约金；逾期半个月以上的，甲方有权终止合同，不再向乙方支付物业服务费并没收履约保证金，由此造成的甲方经济损失由乙方承担。</w:t>
      </w:r>
    </w:p>
    <w:p>
      <w:pPr>
        <w:numPr>
          <w:ilvl w:val="0"/>
          <w:numId w:val="136"/>
        </w:numPr>
        <w:shd w:val="clear"/>
        <w:tabs>
          <w:tab w:val="left" w:pos="425"/>
        </w:tabs>
        <w:adjustRightInd w:val="0"/>
        <w:snapToGrid w:val="0"/>
        <w:spacing w:line="360" w:lineRule="auto"/>
        <w:ind w:left="0" w:firstLine="0"/>
        <w:rPr>
          <w:rFonts w:ascii="宋体" w:hAnsi="宋体" w:cs="宋体"/>
          <w:szCs w:val="21"/>
          <w:highlight w:val="none"/>
        </w:rPr>
      </w:pPr>
      <w:r>
        <w:rPr>
          <w:rFonts w:hint="eastAsia" w:ascii="宋体" w:hAnsi="宋体" w:cs="宋体"/>
          <w:szCs w:val="21"/>
          <w:highlight w:val="none"/>
        </w:rPr>
        <w:t>甲方无正当理由拒绝接受服务，提前解除合同的，应向乙方支付本合同总价5%的违约金。如甲方违约逾期付款，则每日按应付未付金额的3‰向乙方偿付违约金。</w:t>
      </w:r>
    </w:p>
    <w:p>
      <w:pPr>
        <w:numPr>
          <w:ilvl w:val="0"/>
          <w:numId w:val="136"/>
        </w:numPr>
        <w:shd w:val="clear"/>
        <w:tabs>
          <w:tab w:val="left" w:pos="425"/>
        </w:tabs>
        <w:adjustRightInd w:val="0"/>
        <w:snapToGrid w:val="0"/>
        <w:spacing w:line="360" w:lineRule="auto"/>
        <w:ind w:left="0" w:firstLine="0"/>
        <w:rPr>
          <w:rFonts w:ascii="宋体" w:hAnsi="宋体" w:cs="宋体"/>
          <w:szCs w:val="21"/>
          <w:highlight w:val="none"/>
        </w:rPr>
      </w:pPr>
      <w:r>
        <w:rPr>
          <w:rFonts w:hint="eastAsia" w:ascii="宋体" w:hAnsi="宋体" w:cs="宋体"/>
          <w:szCs w:val="21"/>
          <w:highlight w:val="none"/>
        </w:rPr>
        <w:t>因甲方追究乙方违约责任所造成包括但不限于律师费、诉讼费、仲裁费、差旅费、保全费、公证费等损失的，概由乙方承担赔偿责任。</w:t>
      </w:r>
    </w:p>
    <w:p>
      <w:pPr>
        <w:numPr>
          <w:ilvl w:val="0"/>
          <w:numId w:val="136"/>
        </w:numPr>
        <w:shd w:val="clear"/>
        <w:tabs>
          <w:tab w:val="left" w:pos="425"/>
        </w:tabs>
        <w:adjustRightInd w:val="0"/>
        <w:snapToGrid w:val="0"/>
        <w:spacing w:line="360" w:lineRule="auto"/>
        <w:ind w:left="0" w:firstLine="0"/>
        <w:rPr>
          <w:rFonts w:ascii="宋体" w:hAnsi="宋体" w:cs="宋体"/>
          <w:szCs w:val="21"/>
          <w:highlight w:val="none"/>
        </w:rPr>
      </w:pPr>
      <w:r>
        <w:rPr>
          <w:rFonts w:hint="eastAsia" w:ascii="宋体" w:hAnsi="宋体" w:cs="宋体"/>
          <w:szCs w:val="21"/>
          <w:highlight w:val="none"/>
        </w:rPr>
        <w:t>其它违约责任按《中华人民共和国民法典》处理。</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bCs/>
          <w:szCs w:val="21"/>
          <w:highlight w:val="none"/>
        </w:rPr>
      </w:pPr>
      <w:r>
        <w:rPr>
          <w:rFonts w:hint="eastAsia" w:ascii="宋体" w:hAnsi="宋体" w:cs="宋体"/>
          <w:b/>
          <w:bCs/>
          <w:szCs w:val="21"/>
          <w:highlight w:val="none"/>
        </w:rPr>
        <w:t>争议的解决</w:t>
      </w:r>
    </w:p>
    <w:p>
      <w:pPr>
        <w:shd w:val="clear"/>
        <w:spacing w:line="360" w:lineRule="auto"/>
        <w:ind w:firstLine="420" w:firstLineChars="200"/>
        <w:rPr>
          <w:rFonts w:ascii="宋体" w:hAnsi="宋体" w:cs="宋体"/>
          <w:szCs w:val="21"/>
          <w:highlight w:val="none"/>
        </w:rPr>
      </w:pPr>
      <w:r>
        <w:rPr>
          <w:rFonts w:hint="eastAsia" w:ascii="宋体" w:hAnsi="宋体" w:cs="宋体"/>
          <w:szCs w:val="21"/>
          <w:highlight w:val="none"/>
        </w:rPr>
        <w:t>因履行本合同或因本合同发生的争议纠纷，双方应友好协商，协商不成的，一方可向甲方所在地人民法院提起诉讼。</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szCs w:val="21"/>
          <w:highlight w:val="none"/>
        </w:rPr>
      </w:pPr>
      <w:r>
        <w:rPr>
          <w:rFonts w:hint="eastAsia" w:ascii="宋体" w:hAnsi="宋体" w:cs="宋体"/>
          <w:b/>
          <w:szCs w:val="21"/>
          <w:highlight w:val="none"/>
        </w:rPr>
        <w:t>不可抗力</w:t>
      </w:r>
    </w:p>
    <w:p>
      <w:pPr>
        <w:shd w:val="clear"/>
        <w:spacing w:line="360" w:lineRule="auto"/>
        <w:ind w:firstLine="420" w:firstLineChars="200"/>
        <w:rPr>
          <w:rFonts w:ascii="宋体" w:hAnsi="宋体" w:cs="宋体"/>
          <w:szCs w:val="21"/>
          <w:highlight w:val="none"/>
        </w:rPr>
      </w:pPr>
      <w:r>
        <w:rPr>
          <w:rFonts w:hint="eastAsia" w:ascii="宋体" w:hAnsi="宋体" w:cs="宋体"/>
          <w:szCs w:val="21"/>
          <w:highlight w:val="none"/>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 。</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szCs w:val="21"/>
          <w:highlight w:val="none"/>
        </w:rPr>
      </w:pPr>
      <w:r>
        <w:rPr>
          <w:rFonts w:hint="eastAsia" w:ascii="宋体" w:hAnsi="宋体" w:cs="宋体"/>
          <w:b/>
          <w:szCs w:val="21"/>
          <w:highlight w:val="none"/>
        </w:rPr>
        <w:t>税费</w:t>
      </w:r>
    </w:p>
    <w:p>
      <w:pPr>
        <w:shd w:val="clear"/>
        <w:spacing w:line="360" w:lineRule="auto"/>
        <w:ind w:firstLine="420" w:firstLineChars="200"/>
        <w:rPr>
          <w:rFonts w:ascii="宋体" w:hAnsi="宋体" w:cs="宋体"/>
          <w:szCs w:val="21"/>
          <w:highlight w:val="none"/>
        </w:rPr>
      </w:pPr>
      <w:r>
        <w:rPr>
          <w:rFonts w:hint="eastAsia" w:ascii="宋体" w:hAnsi="宋体" w:cs="宋体"/>
          <w:szCs w:val="21"/>
          <w:highlight w:val="none"/>
        </w:rPr>
        <w:t>在中国境内、外发生的与本合同执行有关的一切税费均由乙方负担。</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szCs w:val="21"/>
          <w:highlight w:val="none"/>
        </w:rPr>
      </w:pPr>
      <w:r>
        <w:rPr>
          <w:rFonts w:hint="eastAsia" w:ascii="宋体" w:hAnsi="宋体" w:cs="宋体"/>
          <w:b/>
          <w:szCs w:val="21"/>
          <w:highlight w:val="none"/>
        </w:rPr>
        <w:t>合同变更、终止和解除</w:t>
      </w:r>
    </w:p>
    <w:p>
      <w:pPr>
        <w:numPr>
          <w:ilvl w:val="0"/>
          <w:numId w:val="137"/>
        </w:numPr>
        <w:shd w:val="clear"/>
        <w:tabs>
          <w:tab w:val="left" w:pos="425"/>
        </w:tabs>
        <w:adjustRightInd w:val="0"/>
        <w:snapToGrid w:val="0"/>
        <w:spacing w:line="360" w:lineRule="auto"/>
        <w:ind w:left="0" w:firstLine="0"/>
        <w:rPr>
          <w:rFonts w:ascii="宋体" w:hAnsi="宋体" w:cs="宋体"/>
          <w:szCs w:val="21"/>
          <w:highlight w:val="none"/>
        </w:rPr>
      </w:pPr>
      <w:r>
        <w:rPr>
          <w:rFonts w:hint="eastAsia" w:ascii="宋体" w:hAnsi="宋体" w:cs="宋体"/>
          <w:szCs w:val="21"/>
          <w:highlight w:val="none"/>
        </w:rPr>
        <w:t>本合同自双方签字盖章之日起生效。</w:t>
      </w:r>
    </w:p>
    <w:p>
      <w:pPr>
        <w:numPr>
          <w:ilvl w:val="0"/>
          <w:numId w:val="137"/>
        </w:numPr>
        <w:shd w:val="clear"/>
        <w:tabs>
          <w:tab w:val="left" w:pos="425"/>
        </w:tabs>
        <w:adjustRightInd w:val="0"/>
        <w:snapToGrid w:val="0"/>
        <w:spacing w:line="360" w:lineRule="auto"/>
        <w:ind w:left="0" w:firstLine="0"/>
        <w:rPr>
          <w:rFonts w:ascii="宋体" w:hAnsi="宋体" w:cs="宋体"/>
          <w:szCs w:val="21"/>
          <w:highlight w:val="none"/>
        </w:rPr>
      </w:pPr>
      <w:r>
        <w:rPr>
          <w:rFonts w:hint="eastAsia" w:ascii="宋体" w:hAnsi="宋体" w:cs="宋体"/>
          <w:szCs w:val="21"/>
          <w:highlight w:val="none"/>
        </w:rPr>
        <w:t>在合同执行期间，除非合同有明确约定，双方均不得无故变更本合同。如确需变更，经双方协商一致后以书面形式做出。</w:t>
      </w:r>
    </w:p>
    <w:p>
      <w:pPr>
        <w:numPr>
          <w:ilvl w:val="0"/>
          <w:numId w:val="137"/>
        </w:numPr>
        <w:shd w:val="clear"/>
        <w:tabs>
          <w:tab w:val="left" w:pos="425"/>
        </w:tabs>
        <w:adjustRightInd w:val="0"/>
        <w:snapToGrid w:val="0"/>
        <w:spacing w:line="360" w:lineRule="auto"/>
        <w:ind w:left="0" w:firstLine="0"/>
        <w:rPr>
          <w:rFonts w:ascii="宋体" w:hAnsi="宋体" w:cs="宋体"/>
          <w:szCs w:val="21"/>
          <w:highlight w:val="none"/>
        </w:rPr>
      </w:pPr>
      <w:r>
        <w:rPr>
          <w:rFonts w:hint="eastAsia" w:ascii="宋体" w:hAnsi="宋体" w:cs="宋体"/>
          <w:szCs w:val="21"/>
          <w:highlight w:val="none"/>
        </w:rPr>
        <w:t>若乙方的服务不符合合同约定，经甲方两次书面通知仍不能满足合同约定，甲方有权提前解除合同，只需提前一个月通知乙方，不视为甲方违约。</w:t>
      </w:r>
    </w:p>
    <w:p>
      <w:pPr>
        <w:numPr>
          <w:ilvl w:val="0"/>
          <w:numId w:val="137"/>
        </w:numPr>
        <w:shd w:val="clear"/>
        <w:tabs>
          <w:tab w:val="left" w:pos="425"/>
        </w:tabs>
        <w:adjustRightInd w:val="0"/>
        <w:snapToGrid w:val="0"/>
        <w:spacing w:line="360" w:lineRule="auto"/>
        <w:ind w:left="0" w:firstLine="0"/>
        <w:rPr>
          <w:rFonts w:ascii="宋体" w:hAnsi="宋体" w:cs="宋体"/>
          <w:szCs w:val="21"/>
          <w:highlight w:val="none"/>
        </w:rPr>
      </w:pPr>
      <w:r>
        <w:rPr>
          <w:rFonts w:hint="eastAsia" w:ascii="宋体" w:hAnsi="宋体" w:cs="宋体"/>
          <w:szCs w:val="21"/>
          <w:highlight w:val="none"/>
        </w:rPr>
        <w:t>如发生因乙方本身及其所属员工失职或不规范履行职责，造成较大社会负面影响的，甲方有权提前解除合同，只需提前一个月通知乙方，不视为甲方违约。</w:t>
      </w:r>
    </w:p>
    <w:p>
      <w:pPr>
        <w:numPr>
          <w:ilvl w:val="0"/>
          <w:numId w:val="137"/>
        </w:numPr>
        <w:shd w:val="clear"/>
        <w:tabs>
          <w:tab w:val="left" w:pos="425"/>
        </w:tabs>
        <w:adjustRightInd w:val="0"/>
        <w:snapToGrid w:val="0"/>
        <w:spacing w:line="360" w:lineRule="auto"/>
        <w:ind w:left="0" w:firstLine="0"/>
        <w:rPr>
          <w:rFonts w:ascii="宋体" w:hAnsi="宋体" w:cs="宋体"/>
          <w:szCs w:val="21"/>
          <w:highlight w:val="none"/>
        </w:rPr>
      </w:pPr>
      <w:r>
        <w:rPr>
          <w:rFonts w:hint="eastAsia" w:ascii="宋体" w:hAnsi="宋体" w:cs="宋体"/>
          <w:szCs w:val="21"/>
          <w:highlight w:val="none"/>
        </w:rPr>
        <w:t>因不可抗力或政府政策影响，造成合同不能继续履行的，双方可协商变更、中止或解除合同，均不承担违约责任。</w:t>
      </w:r>
    </w:p>
    <w:p>
      <w:pPr>
        <w:numPr>
          <w:ilvl w:val="0"/>
          <w:numId w:val="137"/>
        </w:numPr>
        <w:shd w:val="clear"/>
        <w:tabs>
          <w:tab w:val="left" w:pos="425"/>
        </w:tabs>
        <w:adjustRightInd w:val="0"/>
        <w:snapToGrid w:val="0"/>
        <w:spacing w:line="360" w:lineRule="auto"/>
        <w:ind w:left="0" w:firstLine="0"/>
        <w:rPr>
          <w:rFonts w:ascii="宋体" w:hAnsi="宋体" w:cs="宋体"/>
          <w:szCs w:val="21"/>
          <w:highlight w:val="none"/>
        </w:rPr>
      </w:pPr>
      <w:r>
        <w:rPr>
          <w:rFonts w:hint="eastAsia" w:ascii="宋体" w:hAnsi="宋体" w:cs="宋体"/>
          <w:szCs w:val="21"/>
          <w:highlight w:val="none"/>
        </w:rPr>
        <w:t>合同期内发生责任事故，经相关部门认定确属乙方人员失职造成的，由乙方承担相应赔偿责任；责任事故在相关部门认定之前，暂由乙方承担责任；责任归属未查清之前，双方仍按合同规定履行各自职责。</w:t>
      </w:r>
    </w:p>
    <w:p>
      <w:pPr>
        <w:numPr>
          <w:ilvl w:val="0"/>
          <w:numId w:val="137"/>
        </w:numPr>
        <w:shd w:val="clear"/>
        <w:tabs>
          <w:tab w:val="left" w:pos="425"/>
        </w:tabs>
        <w:adjustRightInd w:val="0"/>
        <w:snapToGrid w:val="0"/>
        <w:spacing w:line="360" w:lineRule="auto"/>
        <w:ind w:left="0" w:firstLine="0"/>
        <w:rPr>
          <w:rFonts w:ascii="宋体" w:hAnsi="宋体" w:cs="宋体"/>
          <w:szCs w:val="21"/>
          <w:highlight w:val="none"/>
        </w:rPr>
      </w:pPr>
      <w:r>
        <w:rPr>
          <w:rFonts w:hint="eastAsia" w:ascii="宋体" w:hAnsi="宋体" w:cs="宋体"/>
          <w:szCs w:val="21"/>
          <w:highlight w:val="none"/>
        </w:rPr>
        <w:t>本合同解除</w:t>
      </w:r>
      <w:r>
        <w:rPr>
          <w:rFonts w:hint="eastAsia" w:hAnsi="宋体" w:cs="宋体"/>
          <w:szCs w:val="21"/>
          <w:highlight w:val="none"/>
        </w:rPr>
        <w:t>或</w:t>
      </w:r>
      <w:r>
        <w:rPr>
          <w:rFonts w:hint="eastAsia" w:ascii="宋体" w:hAnsi="宋体" w:cs="宋体"/>
          <w:szCs w:val="21"/>
          <w:highlight w:val="none"/>
        </w:rPr>
        <w:t>终止后，乙方</w:t>
      </w:r>
      <w:r>
        <w:rPr>
          <w:rFonts w:hint="eastAsia" w:hAnsi="宋体" w:cs="宋体"/>
          <w:szCs w:val="21"/>
          <w:highlight w:val="none"/>
        </w:rPr>
        <w:t>需</w:t>
      </w:r>
      <w:r>
        <w:rPr>
          <w:rFonts w:hint="eastAsia" w:ascii="宋体" w:hAnsi="宋体" w:cs="宋体"/>
          <w:szCs w:val="21"/>
          <w:highlight w:val="none"/>
        </w:rPr>
        <w:t>与甲方聘请的新物业管理服务企业办妥相关交接手续（包括但不限于人员培训、项目相关档案、资料的交接），拒不配合的，甲方有权动用履约保证金，解决前述相关事项问题和偿付甲方因此造成的损失，乙方不得有异议。若履约保证金不足以偿付上述解决、处理费用以及甲方的损失时，乙方应继续承担赔偿责任。</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szCs w:val="21"/>
          <w:highlight w:val="none"/>
        </w:rPr>
      </w:pPr>
      <w:r>
        <w:rPr>
          <w:rFonts w:hint="eastAsia" w:ascii="宋体" w:hAnsi="宋体" w:cs="宋体"/>
          <w:b/>
          <w:szCs w:val="21"/>
          <w:highlight w:val="none"/>
        </w:rPr>
        <w:t>其它</w:t>
      </w:r>
    </w:p>
    <w:p>
      <w:pPr>
        <w:numPr>
          <w:ilvl w:val="0"/>
          <w:numId w:val="138"/>
        </w:numPr>
        <w:shd w:val="clear"/>
        <w:tabs>
          <w:tab w:val="left" w:pos="425"/>
        </w:tabs>
        <w:adjustRightInd w:val="0"/>
        <w:snapToGrid w:val="0"/>
        <w:spacing w:line="360" w:lineRule="auto"/>
        <w:ind w:left="0" w:firstLine="0"/>
        <w:rPr>
          <w:rFonts w:ascii="宋体" w:hAnsi="宋体" w:cs="宋体"/>
          <w:szCs w:val="21"/>
          <w:highlight w:val="none"/>
        </w:rPr>
      </w:pPr>
      <w:r>
        <w:rPr>
          <w:rFonts w:hint="eastAsia" w:ascii="宋体" w:hAnsi="宋体" w:cs="宋体"/>
          <w:szCs w:val="21"/>
          <w:highlight w:val="none"/>
        </w:rPr>
        <w:t>本合同所有附件、采购文件、投标文件、中标通知书均为合同的有效组成部分，与本合同具有同等法律效力。</w:t>
      </w:r>
    </w:p>
    <w:p>
      <w:pPr>
        <w:numPr>
          <w:ilvl w:val="0"/>
          <w:numId w:val="138"/>
        </w:numPr>
        <w:shd w:val="clear"/>
        <w:tabs>
          <w:tab w:val="left" w:pos="425"/>
        </w:tabs>
        <w:adjustRightInd w:val="0"/>
        <w:snapToGrid w:val="0"/>
        <w:spacing w:line="360" w:lineRule="auto"/>
        <w:ind w:left="0" w:firstLine="0"/>
        <w:rPr>
          <w:rFonts w:ascii="宋体" w:hAnsi="宋体" w:cs="宋体"/>
          <w:szCs w:val="21"/>
          <w:highlight w:val="none"/>
        </w:rPr>
      </w:pPr>
      <w:r>
        <w:rPr>
          <w:rFonts w:hint="eastAsia" w:ascii="宋体" w:hAnsi="宋体" w:cs="宋体"/>
          <w:szCs w:val="21"/>
          <w:highlight w:val="none"/>
        </w:rPr>
        <w:t>在执行本合同的过程中，所有经双方签署确认的文件（包括会议纪要、补充协议、往来信函）即成为本合同的有效组成部分。</w:t>
      </w:r>
    </w:p>
    <w:p>
      <w:pPr>
        <w:numPr>
          <w:ilvl w:val="0"/>
          <w:numId w:val="138"/>
        </w:numPr>
        <w:shd w:val="clear"/>
        <w:tabs>
          <w:tab w:val="left" w:pos="425"/>
        </w:tabs>
        <w:adjustRightInd w:val="0"/>
        <w:snapToGrid w:val="0"/>
        <w:spacing w:line="360" w:lineRule="auto"/>
        <w:ind w:left="600" w:hanging="600"/>
        <w:rPr>
          <w:rFonts w:ascii="宋体" w:hAnsi="宋体" w:cs="宋体"/>
          <w:szCs w:val="21"/>
          <w:highlight w:val="none"/>
        </w:rPr>
      </w:pPr>
      <w:r>
        <w:rPr>
          <w:rFonts w:hint="eastAsia" w:ascii="宋体" w:hAnsi="宋体" w:cs="宋体"/>
          <w:szCs w:val="21"/>
          <w:highlight w:val="none"/>
        </w:rPr>
        <w:t>通知条款：</w:t>
      </w:r>
    </w:p>
    <w:p>
      <w:pPr>
        <w:numPr>
          <w:ilvl w:val="0"/>
          <w:numId w:val="139"/>
        </w:numPr>
        <w:shd w:val="clear"/>
        <w:tabs>
          <w:tab w:val="left" w:pos="425"/>
        </w:tabs>
        <w:adjustRightInd w:val="0"/>
        <w:snapToGrid w:val="0"/>
        <w:spacing w:line="360" w:lineRule="auto"/>
        <w:rPr>
          <w:rFonts w:ascii="宋体" w:hAnsi="宋体" w:cs="宋体"/>
          <w:szCs w:val="21"/>
          <w:highlight w:val="none"/>
        </w:rPr>
      </w:pPr>
      <w:r>
        <w:rPr>
          <w:rFonts w:hint="eastAsia" w:ascii="宋体" w:hAnsi="宋体" w:cs="宋体"/>
          <w:szCs w:val="21"/>
          <w:highlight w:val="none"/>
        </w:rPr>
        <w:t>乙双方向对方发送通知、文件等以合同所列联系方式进行送达（包括但不限于邮寄、电子送达、将书面通知张贴在联系地址处等），一方寄出相关文件后，另一方签收文件时或寄出满七个工作日，或电子通知发送完毕或粘贴通知完毕之日即视为送达。若双方出现争议需要通过诉讼解决的，甲、乙双方的联系地址即为双方的法律文书送达收件地址，法律文书通过人民法院寄出，到达之日即为送达之日。</w:t>
      </w:r>
    </w:p>
    <w:p>
      <w:pPr>
        <w:numPr>
          <w:ilvl w:val="0"/>
          <w:numId w:val="139"/>
        </w:numPr>
        <w:shd w:val="clear"/>
        <w:tabs>
          <w:tab w:val="left" w:pos="425"/>
        </w:tabs>
        <w:adjustRightInd w:val="0"/>
        <w:snapToGrid w:val="0"/>
        <w:spacing w:line="360" w:lineRule="auto"/>
        <w:rPr>
          <w:rFonts w:ascii="宋体" w:hAnsi="宋体" w:cs="宋体"/>
          <w:szCs w:val="21"/>
          <w:highlight w:val="none"/>
        </w:rPr>
      </w:pPr>
      <w:r>
        <w:rPr>
          <w:rFonts w:hint="eastAsia" w:ascii="宋体" w:hAnsi="宋体" w:cs="宋体"/>
          <w:szCs w:val="21"/>
          <w:highlight w:val="none"/>
        </w:rPr>
        <w:t>一方需要变更联系地址和联系方式的，应提前三个工作日书面通知另一方，否则联系方式仍以合同载明为准。</w:t>
      </w:r>
    </w:p>
    <w:p>
      <w:pPr>
        <w:numPr>
          <w:ilvl w:val="0"/>
          <w:numId w:val="139"/>
        </w:numPr>
        <w:shd w:val="clear"/>
        <w:tabs>
          <w:tab w:val="left" w:pos="425"/>
        </w:tabs>
        <w:adjustRightInd w:val="0"/>
        <w:snapToGrid w:val="0"/>
        <w:spacing w:line="360" w:lineRule="auto"/>
        <w:rPr>
          <w:rFonts w:ascii="宋体" w:hAnsi="宋体" w:cs="宋体"/>
          <w:szCs w:val="21"/>
          <w:highlight w:val="none"/>
        </w:rPr>
      </w:pPr>
      <w:r>
        <w:rPr>
          <w:rFonts w:hint="eastAsia" w:ascii="宋体" w:hAnsi="宋体" w:cs="宋体"/>
          <w:szCs w:val="21"/>
          <w:highlight w:val="none"/>
        </w:rPr>
        <w:t>因合同所列双方的联系地址、联系方式不准确；或者联系地址变更后未及时通知另一方；或者当事人或指定联系人拒收；或者由他人签收等原因，导致通知等信函文件和有关法律文书材料未能被当事人实际接收的，均视为已送达。</w:t>
      </w:r>
    </w:p>
    <w:p>
      <w:pPr>
        <w:numPr>
          <w:ilvl w:val="0"/>
          <w:numId w:val="138"/>
        </w:numPr>
        <w:shd w:val="clear"/>
        <w:tabs>
          <w:tab w:val="left" w:pos="425"/>
        </w:tabs>
        <w:adjustRightInd w:val="0"/>
        <w:snapToGrid w:val="0"/>
        <w:spacing w:line="360" w:lineRule="auto"/>
        <w:ind w:left="600" w:hanging="600"/>
        <w:rPr>
          <w:rFonts w:ascii="宋体" w:hAnsi="宋体" w:cs="宋体"/>
          <w:szCs w:val="21"/>
          <w:highlight w:val="none"/>
        </w:rPr>
      </w:pPr>
      <w:r>
        <w:rPr>
          <w:rFonts w:hint="eastAsia" w:ascii="宋体" w:hAnsi="宋体" w:cs="宋体"/>
          <w:szCs w:val="21"/>
          <w:highlight w:val="none"/>
        </w:rPr>
        <w:t>除甲方事先书面同意外，乙方不得部分或全部转让其应履行的合同项下的义务。</w:t>
      </w:r>
    </w:p>
    <w:p>
      <w:pPr>
        <w:numPr>
          <w:ilvl w:val="0"/>
          <w:numId w:val="91"/>
        </w:numPr>
        <w:shd w:val="clear"/>
        <w:tabs>
          <w:tab w:val="left" w:pos="426"/>
          <w:tab w:val="clear" w:pos="420"/>
        </w:tabs>
        <w:autoSpaceDE w:val="0"/>
        <w:autoSpaceDN w:val="0"/>
        <w:adjustRightInd w:val="0"/>
        <w:spacing w:line="360" w:lineRule="auto"/>
        <w:jc w:val="left"/>
        <w:rPr>
          <w:rFonts w:ascii="宋体" w:hAnsi="宋体" w:cs="宋体"/>
          <w:b/>
          <w:szCs w:val="21"/>
          <w:highlight w:val="none"/>
        </w:rPr>
      </w:pPr>
      <w:r>
        <w:rPr>
          <w:rFonts w:hint="eastAsia" w:ascii="宋体" w:hAnsi="宋体" w:cs="宋体"/>
          <w:b/>
          <w:szCs w:val="21"/>
          <w:highlight w:val="none"/>
        </w:rPr>
        <w:t>合同生效：</w:t>
      </w:r>
    </w:p>
    <w:p>
      <w:pPr>
        <w:numPr>
          <w:ilvl w:val="0"/>
          <w:numId w:val="140"/>
        </w:numPr>
        <w:shd w:val="clear"/>
        <w:tabs>
          <w:tab w:val="left" w:pos="425"/>
        </w:tabs>
        <w:adjustRightInd w:val="0"/>
        <w:snapToGrid w:val="0"/>
        <w:spacing w:line="360" w:lineRule="auto"/>
        <w:ind w:left="0" w:firstLine="0"/>
        <w:rPr>
          <w:rFonts w:ascii="宋体" w:hAnsi="宋体" w:cs="宋体"/>
          <w:szCs w:val="21"/>
          <w:highlight w:val="none"/>
        </w:rPr>
      </w:pPr>
      <w:r>
        <w:rPr>
          <w:rFonts w:hint="eastAsia" w:ascii="宋体" w:hAnsi="宋体" w:cs="宋体"/>
          <w:szCs w:val="21"/>
          <w:highlight w:val="none"/>
        </w:rPr>
        <w:t>本合同在甲乙双方法</w:t>
      </w:r>
      <w:r>
        <w:rPr>
          <w:rFonts w:hint="eastAsia" w:ascii="宋体" w:hAnsi="宋体" w:cs="宋体"/>
          <w:szCs w:val="21"/>
          <w:highlight w:val="none"/>
          <w:lang w:val="en-US" w:eastAsia="zh-CN"/>
        </w:rPr>
        <w:t>定</w:t>
      </w:r>
      <w:r>
        <w:rPr>
          <w:rFonts w:hint="eastAsia" w:ascii="宋体" w:hAnsi="宋体" w:cs="宋体"/>
          <w:szCs w:val="21"/>
          <w:highlight w:val="none"/>
        </w:rPr>
        <w:t>代表</w:t>
      </w:r>
      <w:r>
        <w:rPr>
          <w:rFonts w:hint="eastAsia" w:ascii="宋体" w:hAnsi="宋体" w:cs="宋体"/>
          <w:szCs w:val="21"/>
          <w:highlight w:val="none"/>
          <w:lang w:val="en-US" w:eastAsia="zh-CN"/>
        </w:rPr>
        <w:t>人</w:t>
      </w:r>
      <w:r>
        <w:rPr>
          <w:rFonts w:hint="eastAsia" w:ascii="宋体" w:hAnsi="宋体" w:cs="宋体"/>
          <w:szCs w:val="21"/>
          <w:highlight w:val="none"/>
        </w:rPr>
        <w:t>或其授权代表签字、甲乙双方盖章之日起生效。</w:t>
      </w:r>
    </w:p>
    <w:p>
      <w:pPr>
        <w:numPr>
          <w:ilvl w:val="0"/>
          <w:numId w:val="140"/>
        </w:numPr>
        <w:shd w:val="clear"/>
        <w:tabs>
          <w:tab w:val="left" w:pos="425"/>
        </w:tabs>
        <w:adjustRightInd w:val="0"/>
        <w:snapToGrid w:val="0"/>
        <w:spacing w:line="360" w:lineRule="auto"/>
        <w:ind w:left="0" w:firstLine="0"/>
        <w:rPr>
          <w:rFonts w:ascii="宋体" w:hAnsi="宋体" w:cs="宋体"/>
          <w:szCs w:val="21"/>
          <w:highlight w:val="none"/>
        </w:rPr>
      </w:pPr>
      <w:r>
        <w:rPr>
          <w:rFonts w:hint="eastAsia" w:ascii="宋体" w:hAnsi="宋体" w:cs="宋体"/>
          <w:szCs w:val="21"/>
          <w:highlight w:val="none"/>
        </w:rPr>
        <w:t>合同壹式</w:t>
      </w:r>
      <w:r>
        <w:rPr>
          <w:rFonts w:hint="eastAsia" w:ascii="宋体" w:hAnsi="宋体" w:cs="宋体"/>
          <w:szCs w:val="21"/>
          <w:highlight w:val="none"/>
          <w:u w:val="single"/>
        </w:rPr>
        <w:t xml:space="preserve">  </w:t>
      </w:r>
      <w:r>
        <w:rPr>
          <w:rFonts w:hint="eastAsia" w:ascii="宋体" w:hAnsi="宋体" w:cs="宋体"/>
          <w:szCs w:val="21"/>
          <w:highlight w:val="none"/>
        </w:rPr>
        <w:t>份，每份均具有同等法律效力，甲方执</w:t>
      </w:r>
      <w:r>
        <w:rPr>
          <w:rFonts w:hint="eastAsia" w:ascii="宋体" w:hAnsi="宋体" w:cs="宋体"/>
          <w:szCs w:val="21"/>
          <w:highlight w:val="none"/>
          <w:u w:val="single"/>
        </w:rPr>
        <w:t xml:space="preserve">  </w:t>
      </w:r>
      <w:r>
        <w:rPr>
          <w:rFonts w:hint="eastAsia" w:ascii="宋体" w:hAnsi="宋体" w:cs="宋体"/>
          <w:szCs w:val="21"/>
          <w:highlight w:val="none"/>
        </w:rPr>
        <w:t>份，乙方执</w:t>
      </w:r>
      <w:r>
        <w:rPr>
          <w:rFonts w:hint="eastAsia" w:ascii="宋体" w:hAnsi="宋体" w:cs="宋体"/>
          <w:szCs w:val="21"/>
          <w:highlight w:val="none"/>
          <w:u w:val="single"/>
        </w:rPr>
        <w:t xml:space="preserve">  </w:t>
      </w:r>
      <w:r>
        <w:rPr>
          <w:rFonts w:hint="eastAsia" w:ascii="宋体" w:hAnsi="宋体" w:cs="宋体"/>
          <w:szCs w:val="21"/>
          <w:highlight w:val="none"/>
        </w:rPr>
        <w:t>份，招标代理机构执</w:t>
      </w:r>
      <w:r>
        <w:rPr>
          <w:rFonts w:hint="eastAsia" w:ascii="宋体" w:hAnsi="宋体" w:cs="宋体"/>
          <w:szCs w:val="21"/>
          <w:highlight w:val="none"/>
          <w:u w:val="single"/>
        </w:rPr>
        <w:t xml:space="preserve">  </w:t>
      </w:r>
      <w:r>
        <w:rPr>
          <w:rFonts w:hint="eastAsia" w:ascii="宋体" w:hAnsi="宋体" w:cs="宋体"/>
          <w:szCs w:val="21"/>
          <w:highlight w:val="none"/>
        </w:rPr>
        <w:t>份，</w:t>
      </w:r>
      <w:r>
        <w:rPr>
          <w:rFonts w:hint="eastAsia" w:ascii="宋体" w:hAnsi="宋体" w:cs="宋体"/>
          <w:kern w:val="0"/>
          <w:szCs w:val="21"/>
          <w:highlight w:val="none"/>
        </w:rPr>
        <w:t>佛山市南海公有资产流转服务有限公司</w:t>
      </w:r>
      <w:r>
        <w:rPr>
          <w:rFonts w:hint="eastAsia" w:ascii="宋体" w:hAnsi="宋体" w:cs="宋体"/>
          <w:szCs w:val="21"/>
          <w:highlight w:val="none"/>
        </w:rPr>
        <w:t>执</w:t>
      </w:r>
      <w:r>
        <w:rPr>
          <w:rFonts w:hint="eastAsia" w:ascii="宋体" w:hAnsi="宋体" w:cs="宋体"/>
          <w:szCs w:val="21"/>
          <w:highlight w:val="none"/>
          <w:u w:val="single"/>
        </w:rPr>
        <w:t xml:space="preserve">  </w:t>
      </w:r>
      <w:r>
        <w:rPr>
          <w:rFonts w:hint="eastAsia" w:ascii="宋体" w:hAnsi="宋体" w:cs="宋体"/>
          <w:szCs w:val="21"/>
          <w:highlight w:val="none"/>
        </w:rPr>
        <w:t>份。</w:t>
      </w:r>
    </w:p>
    <w:p>
      <w:pPr>
        <w:pStyle w:val="42"/>
        <w:shd w:val="clear"/>
        <w:rPr>
          <w:highlight w:val="none"/>
        </w:rPr>
      </w:pPr>
    </w:p>
    <w:tbl>
      <w:tblPr>
        <w:tblStyle w:val="22"/>
        <w:tblW w:w="8779" w:type="dxa"/>
        <w:tblInd w:w="0" w:type="dxa"/>
        <w:tblLayout w:type="fixed"/>
        <w:tblCellMar>
          <w:top w:w="0" w:type="dxa"/>
          <w:left w:w="108" w:type="dxa"/>
          <w:bottom w:w="0" w:type="dxa"/>
          <w:right w:w="108" w:type="dxa"/>
        </w:tblCellMar>
      </w:tblPr>
      <w:tblGrid>
        <w:gridCol w:w="4389"/>
        <w:gridCol w:w="4390"/>
      </w:tblGrid>
      <w:tr>
        <w:tblPrEx>
          <w:tblCellMar>
            <w:top w:w="0" w:type="dxa"/>
            <w:left w:w="108" w:type="dxa"/>
            <w:bottom w:w="0" w:type="dxa"/>
            <w:right w:w="108" w:type="dxa"/>
          </w:tblCellMar>
        </w:tblPrEx>
        <w:trPr>
          <w:trHeight w:val="625" w:hRule="atLeast"/>
        </w:trPr>
        <w:tc>
          <w:tcPr>
            <w:tcW w:w="4389" w:type="dxa"/>
          </w:tcPr>
          <w:p>
            <w:pPr>
              <w:shd w:val="clear"/>
              <w:spacing w:line="400" w:lineRule="exact"/>
              <w:rPr>
                <w:rFonts w:ascii="宋体" w:hAnsi="宋体" w:cs="宋体"/>
                <w:szCs w:val="21"/>
                <w:highlight w:val="none"/>
              </w:rPr>
            </w:pPr>
            <w:r>
              <w:rPr>
                <w:rFonts w:hint="eastAsia" w:ascii="宋体" w:hAnsi="宋体" w:cs="宋体"/>
                <w:szCs w:val="21"/>
                <w:highlight w:val="none"/>
              </w:rPr>
              <w:t>甲方（盖章）：</w:t>
            </w:r>
          </w:p>
        </w:tc>
        <w:tc>
          <w:tcPr>
            <w:tcW w:w="4390" w:type="dxa"/>
          </w:tcPr>
          <w:p>
            <w:pPr>
              <w:shd w:val="clear"/>
              <w:spacing w:line="400" w:lineRule="exact"/>
              <w:rPr>
                <w:rFonts w:ascii="宋体" w:hAnsi="宋体" w:cs="宋体"/>
                <w:szCs w:val="21"/>
                <w:highlight w:val="none"/>
              </w:rPr>
            </w:pPr>
            <w:r>
              <w:rPr>
                <w:rFonts w:hint="eastAsia" w:ascii="宋体" w:hAnsi="宋体" w:cs="宋体"/>
                <w:szCs w:val="21"/>
                <w:highlight w:val="none"/>
              </w:rPr>
              <w:t>乙方（盖章）：</w:t>
            </w:r>
          </w:p>
        </w:tc>
      </w:tr>
      <w:tr>
        <w:tblPrEx>
          <w:tblCellMar>
            <w:top w:w="0" w:type="dxa"/>
            <w:left w:w="108" w:type="dxa"/>
            <w:bottom w:w="0" w:type="dxa"/>
            <w:right w:w="108" w:type="dxa"/>
          </w:tblCellMar>
        </w:tblPrEx>
        <w:trPr>
          <w:trHeight w:val="625" w:hRule="atLeast"/>
        </w:trPr>
        <w:tc>
          <w:tcPr>
            <w:tcW w:w="4389" w:type="dxa"/>
          </w:tcPr>
          <w:p>
            <w:pPr>
              <w:shd w:val="clear"/>
              <w:spacing w:line="400" w:lineRule="exact"/>
              <w:rPr>
                <w:rFonts w:ascii="宋体" w:hAnsi="宋体" w:cs="宋体"/>
                <w:szCs w:val="21"/>
                <w:highlight w:val="none"/>
              </w:rPr>
            </w:pPr>
          </w:p>
        </w:tc>
        <w:tc>
          <w:tcPr>
            <w:tcW w:w="4390" w:type="dxa"/>
          </w:tcPr>
          <w:p>
            <w:pPr>
              <w:shd w:val="clear"/>
              <w:spacing w:line="400" w:lineRule="exact"/>
              <w:rPr>
                <w:rFonts w:ascii="宋体" w:hAnsi="宋体" w:cs="宋体"/>
                <w:szCs w:val="21"/>
                <w:highlight w:val="none"/>
              </w:rPr>
            </w:pPr>
          </w:p>
        </w:tc>
      </w:tr>
      <w:tr>
        <w:tblPrEx>
          <w:tblCellMar>
            <w:top w:w="0" w:type="dxa"/>
            <w:left w:w="108" w:type="dxa"/>
            <w:bottom w:w="0" w:type="dxa"/>
            <w:right w:w="108" w:type="dxa"/>
          </w:tblCellMar>
        </w:tblPrEx>
        <w:trPr>
          <w:trHeight w:val="625" w:hRule="atLeast"/>
        </w:trPr>
        <w:tc>
          <w:tcPr>
            <w:tcW w:w="4389" w:type="dxa"/>
          </w:tcPr>
          <w:p>
            <w:pPr>
              <w:shd w:val="clear"/>
              <w:spacing w:line="400" w:lineRule="exact"/>
              <w:rPr>
                <w:rFonts w:ascii="宋体" w:hAnsi="宋体" w:cs="宋体"/>
                <w:szCs w:val="21"/>
                <w:highlight w:val="none"/>
              </w:rPr>
            </w:pPr>
            <w:r>
              <w:rPr>
                <w:rFonts w:hint="eastAsia" w:ascii="宋体" w:hAnsi="宋体" w:cs="宋体"/>
                <w:szCs w:val="21"/>
                <w:highlight w:val="none"/>
              </w:rPr>
              <w:t>法定代表人或委托代表人（签字）：</w:t>
            </w:r>
          </w:p>
        </w:tc>
        <w:tc>
          <w:tcPr>
            <w:tcW w:w="4390" w:type="dxa"/>
          </w:tcPr>
          <w:p>
            <w:pPr>
              <w:shd w:val="clear"/>
              <w:spacing w:line="400" w:lineRule="exact"/>
              <w:rPr>
                <w:rFonts w:ascii="宋体" w:hAnsi="宋体" w:cs="宋体"/>
                <w:szCs w:val="21"/>
                <w:highlight w:val="none"/>
              </w:rPr>
            </w:pPr>
            <w:r>
              <w:rPr>
                <w:rFonts w:hint="eastAsia" w:ascii="宋体" w:hAnsi="宋体" w:cs="宋体"/>
                <w:szCs w:val="21"/>
                <w:highlight w:val="none"/>
              </w:rPr>
              <w:t>法定代表人或授权代理人（签字）：</w:t>
            </w:r>
          </w:p>
        </w:tc>
      </w:tr>
      <w:tr>
        <w:tblPrEx>
          <w:tblCellMar>
            <w:top w:w="0" w:type="dxa"/>
            <w:left w:w="108" w:type="dxa"/>
            <w:bottom w:w="0" w:type="dxa"/>
            <w:right w:w="108" w:type="dxa"/>
          </w:tblCellMar>
        </w:tblPrEx>
        <w:trPr>
          <w:trHeight w:val="625" w:hRule="atLeast"/>
        </w:trPr>
        <w:tc>
          <w:tcPr>
            <w:tcW w:w="4389" w:type="dxa"/>
          </w:tcPr>
          <w:p>
            <w:pPr>
              <w:shd w:val="clear"/>
              <w:spacing w:line="400" w:lineRule="exact"/>
              <w:rPr>
                <w:rFonts w:ascii="宋体" w:hAnsi="宋体" w:cs="宋体"/>
                <w:szCs w:val="21"/>
                <w:highlight w:val="none"/>
              </w:rPr>
            </w:pPr>
          </w:p>
        </w:tc>
        <w:tc>
          <w:tcPr>
            <w:tcW w:w="4390" w:type="dxa"/>
          </w:tcPr>
          <w:p>
            <w:pPr>
              <w:shd w:val="clear"/>
              <w:spacing w:line="400" w:lineRule="exact"/>
              <w:rPr>
                <w:rFonts w:ascii="宋体" w:hAnsi="宋体" w:cs="宋体"/>
                <w:szCs w:val="21"/>
                <w:highlight w:val="none"/>
              </w:rPr>
            </w:pPr>
          </w:p>
        </w:tc>
      </w:tr>
      <w:tr>
        <w:tblPrEx>
          <w:tblCellMar>
            <w:top w:w="0" w:type="dxa"/>
            <w:left w:w="108" w:type="dxa"/>
            <w:bottom w:w="0" w:type="dxa"/>
            <w:right w:w="108" w:type="dxa"/>
          </w:tblCellMar>
        </w:tblPrEx>
        <w:trPr>
          <w:trHeight w:val="625" w:hRule="atLeast"/>
        </w:trPr>
        <w:tc>
          <w:tcPr>
            <w:tcW w:w="4389" w:type="dxa"/>
          </w:tcPr>
          <w:p>
            <w:pPr>
              <w:shd w:val="clear"/>
              <w:spacing w:line="400" w:lineRule="exact"/>
              <w:rPr>
                <w:rFonts w:ascii="宋体" w:hAnsi="宋体" w:cs="宋体"/>
                <w:szCs w:val="21"/>
                <w:highlight w:val="none"/>
              </w:rPr>
            </w:pPr>
            <w:r>
              <w:rPr>
                <w:rFonts w:hint="eastAsia" w:ascii="宋体" w:hAnsi="宋体" w:cs="宋体"/>
                <w:szCs w:val="21"/>
                <w:highlight w:val="none"/>
              </w:rPr>
              <w:t>地址：</w:t>
            </w:r>
          </w:p>
        </w:tc>
        <w:tc>
          <w:tcPr>
            <w:tcW w:w="4390" w:type="dxa"/>
          </w:tcPr>
          <w:p>
            <w:pPr>
              <w:shd w:val="clear"/>
              <w:spacing w:line="400" w:lineRule="exact"/>
              <w:rPr>
                <w:rFonts w:ascii="宋体" w:hAnsi="宋体" w:cs="宋体"/>
                <w:szCs w:val="21"/>
                <w:highlight w:val="none"/>
              </w:rPr>
            </w:pPr>
            <w:r>
              <w:rPr>
                <w:rFonts w:hint="eastAsia" w:ascii="宋体" w:hAnsi="宋体" w:cs="宋体"/>
                <w:szCs w:val="21"/>
                <w:highlight w:val="none"/>
              </w:rPr>
              <w:t>地址：</w:t>
            </w:r>
          </w:p>
        </w:tc>
      </w:tr>
      <w:tr>
        <w:tblPrEx>
          <w:tblCellMar>
            <w:top w:w="0" w:type="dxa"/>
            <w:left w:w="108" w:type="dxa"/>
            <w:bottom w:w="0" w:type="dxa"/>
            <w:right w:w="108" w:type="dxa"/>
          </w:tblCellMar>
        </w:tblPrEx>
        <w:trPr>
          <w:trHeight w:val="625" w:hRule="atLeast"/>
        </w:trPr>
        <w:tc>
          <w:tcPr>
            <w:tcW w:w="4389" w:type="dxa"/>
          </w:tcPr>
          <w:p>
            <w:pPr>
              <w:shd w:val="clear"/>
              <w:spacing w:line="400" w:lineRule="exact"/>
              <w:rPr>
                <w:rFonts w:ascii="宋体" w:hAnsi="宋体" w:cs="宋体"/>
                <w:szCs w:val="21"/>
                <w:highlight w:val="none"/>
              </w:rPr>
            </w:pPr>
            <w:r>
              <w:rPr>
                <w:rFonts w:hint="eastAsia" w:ascii="宋体" w:hAnsi="宋体" w:cs="宋体"/>
                <w:szCs w:val="21"/>
                <w:highlight w:val="none"/>
              </w:rPr>
              <w:t>电话：</w:t>
            </w:r>
          </w:p>
        </w:tc>
        <w:tc>
          <w:tcPr>
            <w:tcW w:w="4390" w:type="dxa"/>
          </w:tcPr>
          <w:p>
            <w:pPr>
              <w:shd w:val="clear"/>
              <w:spacing w:line="400" w:lineRule="exact"/>
              <w:rPr>
                <w:rFonts w:ascii="宋体" w:hAnsi="宋体" w:cs="宋体"/>
                <w:szCs w:val="21"/>
                <w:highlight w:val="none"/>
              </w:rPr>
            </w:pPr>
            <w:r>
              <w:rPr>
                <w:rFonts w:hint="eastAsia" w:ascii="宋体" w:hAnsi="宋体" w:cs="宋体"/>
                <w:szCs w:val="21"/>
                <w:highlight w:val="none"/>
              </w:rPr>
              <w:t>电话：</w:t>
            </w:r>
          </w:p>
        </w:tc>
      </w:tr>
      <w:tr>
        <w:tblPrEx>
          <w:tblCellMar>
            <w:top w:w="0" w:type="dxa"/>
            <w:left w:w="108" w:type="dxa"/>
            <w:bottom w:w="0" w:type="dxa"/>
            <w:right w:w="108" w:type="dxa"/>
          </w:tblCellMar>
        </w:tblPrEx>
        <w:trPr>
          <w:trHeight w:val="625" w:hRule="atLeast"/>
        </w:trPr>
        <w:tc>
          <w:tcPr>
            <w:tcW w:w="4389" w:type="dxa"/>
          </w:tcPr>
          <w:p>
            <w:pPr>
              <w:shd w:val="clear"/>
              <w:spacing w:line="400" w:lineRule="exact"/>
              <w:rPr>
                <w:rFonts w:ascii="宋体" w:hAnsi="宋体" w:cs="宋体"/>
                <w:szCs w:val="21"/>
                <w:highlight w:val="none"/>
              </w:rPr>
            </w:pPr>
            <w:r>
              <w:rPr>
                <w:rFonts w:hint="eastAsia" w:ascii="宋体" w:hAnsi="宋体" w:cs="宋体"/>
                <w:szCs w:val="21"/>
                <w:highlight w:val="none"/>
              </w:rPr>
              <w:t>传真：</w:t>
            </w:r>
          </w:p>
        </w:tc>
        <w:tc>
          <w:tcPr>
            <w:tcW w:w="4390" w:type="dxa"/>
          </w:tcPr>
          <w:p>
            <w:pPr>
              <w:shd w:val="clear"/>
              <w:spacing w:line="400" w:lineRule="exact"/>
              <w:rPr>
                <w:rFonts w:ascii="宋体" w:hAnsi="宋体" w:cs="宋体"/>
                <w:szCs w:val="21"/>
                <w:highlight w:val="none"/>
              </w:rPr>
            </w:pPr>
            <w:r>
              <w:rPr>
                <w:rFonts w:hint="eastAsia" w:ascii="宋体" w:hAnsi="宋体" w:cs="宋体"/>
                <w:szCs w:val="21"/>
                <w:highlight w:val="none"/>
              </w:rPr>
              <w:t>传真：</w:t>
            </w:r>
          </w:p>
        </w:tc>
      </w:tr>
      <w:tr>
        <w:tblPrEx>
          <w:tblCellMar>
            <w:top w:w="0" w:type="dxa"/>
            <w:left w:w="108" w:type="dxa"/>
            <w:bottom w:w="0" w:type="dxa"/>
            <w:right w:w="108" w:type="dxa"/>
          </w:tblCellMar>
        </w:tblPrEx>
        <w:trPr>
          <w:trHeight w:val="625" w:hRule="atLeast"/>
        </w:trPr>
        <w:tc>
          <w:tcPr>
            <w:tcW w:w="4389" w:type="dxa"/>
          </w:tcPr>
          <w:p>
            <w:pPr>
              <w:shd w:val="clear"/>
              <w:spacing w:line="400" w:lineRule="exact"/>
              <w:rPr>
                <w:rFonts w:ascii="宋体" w:hAnsi="宋体" w:cs="宋体"/>
                <w:szCs w:val="21"/>
                <w:highlight w:val="none"/>
              </w:rPr>
            </w:pPr>
            <w:r>
              <w:rPr>
                <w:rFonts w:hint="eastAsia" w:ascii="宋体" w:hAnsi="宋体" w:cs="宋体"/>
                <w:szCs w:val="21"/>
                <w:highlight w:val="none"/>
              </w:rPr>
              <w:t>日期：       年    月   日</w:t>
            </w:r>
          </w:p>
        </w:tc>
        <w:tc>
          <w:tcPr>
            <w:tcW w:w="4390" w:type="dxa"/>
          </w:tcPr>
          <w:p>
            <w:pPr>
              <w:shd w:val="clear"/>
              <w:spacing w:line="400" w:lineRule="exact"/>
              <w:rPr>
                <w:rFonts w:ascii="宋体" w:hAnsi="宋体" w:cs="宋体"/>
                <w:szCs w:val="21"/>
                <w:highlight w:val="none"/>
              </w:rPr>
            </w:pPr>
            <w:r>
              <w:rPr>
                <w:rFonts w:hint="eastAsia" w:ascii="宋体" w:hAnsi="宋体" w:cs="宋体"/>
                <w:szCs w:val="21"/>
                <w:highlight w:val="none"/>
              </w:rPr>
              <w:t>日期：      年    月    日</w:t>
            </w:r>
          </w:p>
        </w:tc>
      </w:tr>
      <w:tr>
        <w:tblPrEx>
          <w:tblCellMar>
            <w:top w:w="0" w:type="dxa"/>
            <w:left w:w="108" w:type="dxa"/>
            <w:bottom w:w="0" w:type="dxa"/>
            <w:right w:w="108" w:type="dxa"/>
          </w:tblCellMar>
        </w:tblPrEx>
        <w:trPr>
          <w:trHeight w:val="625" w:hRule="atLeast"/>
        </w:trPr>
        <w:tc>
          <w:tcPr>
            <w:tcW w:w="4389" w:type="dxa"/>
          </w:tcPr>
          <w:p>
            <w:pPr>
              <w:shd w:val="clear"/>
              <w:spacing w:line="400" w:lineRule="exact"/>
              <w:rPr>
                <w:rFonts w:ascii="宋体" w:hAnsi="宋体" w:cs="宋体"/>
                <w:szCs w:val="21"/>
                <w:highlight w:val="none"/>
              </w:rPr>
            </w:pPr>
          </w:p>
        </w:tc>
        <w:tc>
          <w:tcPr>
            <w:tcW w:w="4390" w:type="dxa"/>
          </w:tcPr>
          <w:p>
            <w:pPr>
              <w:shd w:val="clear"/>
              <w:spacing w:line="400" w:lineRule="exact"/>
              <w:jc w:val="left"/>
              <w:rPr>
                <w:rFonts w:ascii="宋体" w:hAnsi="宋体" w:cs="宋体"/>
                <w:szCs w:val="21"/>
                <w:highlight w:val="none"/>
              </w:rPr>
            </w:pPr>
          </w:p>
        </w:tc>
      </w:tr>
    </w:tbl>
    <w:p>
      <w:pPr>
        <w:shd w:val="clear"/>
        <w:rPr>
          <w:highlight w:val="none"/>
        </w:rPr>
      </w:pPr>
    </w:p>
    <w:p>
      <w:pPr>
        <w:shd w:val="clear"/>
        <w:rPr>
          <w:rFonts w:ascii="宋体" w:hAnsi="宋体" w:cs="宋体"/>
          <w:szCs w:val="21"/>
          <w:highlight w:val="none"/>
        </w:rPr>
      </w:pPr>
    </w:p>
    <w:p>
      <w:pPr>
        <w:shd w:val="clear"/>
        <w:rPr>
          <w:rFonts w:ascii="宋体" w:hAnsi="宋体" w:cs="宋体"/>
          <w:szCs w:val="21"/>
          <w:highlight w:val="none"/>
        </w:rPr>
      </w:pPr>
      <w:r>
        <w:rPr>
          <w:rFonts w:hint="eastAsia" w:ascii="宋体" w:hAnsi="宋体" w:cs="宋体"/>
          <w:szCs w:val="21"/>
          <w:highlight w:val="none"/>
        </w:rPr>
        <w:br w:type="page"/>
      </w:r>
    </w:p>
    <w:p>
      <w:pPr>
        <w:pStyle w:val="66"/>
        <w:shd w:val="clear"/>
        <w:spacing w:line="360" w:lineRule="auto"/>
        <w:jc w:val="both"/>
        <w:rPr>
          <w:rFonts w:ascii="宋体" w:hAnsi="宋体" w:cs="宋体"/>
          <w:sz w:val="21"/>
          <w:szCs w:val="21"/>
          <w:highlight w:val="none"/>
        </w:rPr>
      </w:pPr>
      <w:r>
        <w:rPr>
          <w:rFonts w:hint="eastAsia" w:ascii="宋体" w:hAnsi="宋体" w:cs="宋体"/>
          <w:sz w:val="21"/>
          <w:szCs w:val="21"/>
          <w:highlight w:val="none"/>
        </w:rPr>
        <w:t>附件1  千灯湖创投特色小镇核心区规划平面图</w:t>
      </w:r>
    </w:p>
    <w:p>
      <w:pPr>
        <w:shd w:val="clear"/>
        <w:rPr>
          <w:rFonts w:ascii="宋体" w:hAnsi="宋体" w:cs="宋体"/>
          <w:szCs w:val="21"/>
          <w:highlight w:val="none"/>
        </w:rPr>
      </w:pPr>
      <w:r>
        <w:rPr>
          <w:rFonts w:hint="eastAsia" w:ascii="宋体" w:hAnsi="宋体" w:cs="宋体"/>
          <w:szCs w:val="21"/>
          <w:highlight w:val="none"/>
        </w:rPr>
        <w:drawing>
          <wp:inline distT="0" distB="0" distL="114300" distR="114300">
            <wp:extent cx="5816600" cy="8131810"/>
            <wp:effectExtent l="0" t="0" r="12700" b="2540"/>
            <wp:docPr id="14" name="图片 14" descr="71d2efcdddda59f785a139123cb1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1d2efcdddda59f785a139123cb172a"/>
                    <pic:cNvPicPr>
                      <a:picLocks noChangeAspect="1"/>
                    </pic:cNvPicPr>
                  </pic:nvPicPr>
                  <pic:blipFill>
                    <a:blip r:embed="rId12"/>
                    <a:stretch>
                      <a:fillRect/>
                    </a:stretch>
                  </pic:blipFill>
                  <pic:spPr>
                    <a:xfrm>
                      <a:off x="0" y="0"/>
                      <a:ext cx="5816600" cy="8131810"/>
                    </a:xfrm>
                    <a:prstGeom prst="rect">
                      <a:avLst/>
                    </a:prstGeom>
                  </pic:spPr>
                </pic:pic>
              </a:graphicData>
            </a:graphic>
          </wp:inline>
        </w:drawing>
      </w:r>
    </w:p>
    <w:p>
      <w:pPr>
        <w:shd w:val="clear"/>
        <w:adjustRightInd w:val="0"/>
        <w:snapToGrid w:val="0"/>
        <w:spacing w:before="156" w:beforeLines="50" w:after="156" w:afterLines="50" w:line="360" w:lineRule="auto"/>
        <w:jc w:val="center"/>
        <w:outlineLvl w:val="0"/>
        <w:rPr>
          <w:rFonts w:ascii="Times New Roman" w:hAnsi="Times New Roman"/>
          <w:b/>
          <w:bCs/>
          <w:sz w:val="28"/>
          <w:szCs w:val="28"/>
          <w:highlight w:val="none"/>
        </w:rPr>
      </w:pPr>
      <w:bookmarkStart w:id="105" w:name="_Toc15548"/>
      <w:r>
        <w:rPr>
          <w:rFonts w:hint="eastAsia" w:ascii="Times New Roman" w:hAnsi="Times New Roman"/>
          <w:b/>
          <w:bCs/>
          <w:sz w:val="28"/>
          <w:szCs w:val="28"/>
          <w:highlight w:val="none"/>
        </w:rPr>
        <w:t>第七章  投标文件格式</w:t>
      </w:r>
      <w:bookmarkEnd w:id="105"/>
    </w:p>
    <w:p>
      <w:pPr>
        <w:shd w:val="clear"/>
        <w:adjustRightInd w:val="0"/>
        <w:snapToGrid w:val="0"/>
        <w:spacing w:before="156" w:beforeLines="50" w:after="156" w:afterLines="50" w:line="360" w:lineRule="auto"/>
        <w:jc w:val="center"/>
        <w:outlineLvl w:val="0"/>
        <w:rPr>
          <w:rFonts w:ascii="Times New Roman" w:hAnsi="Times New Roman"/>
          <w:b/>
          <w:bCs/>
          <w:sz w:val="28"/>
          <w:szCs w:val="28"/>
          <w:highlight w:val="none"/>
          <w:lang w:eastAsia="zh-TW"/>
        </w:rPr>
      </w:pPr>
      <w:bookmarkStart w:id="106" w:name="_Toc26145"/>
      <w:r>
        <w:rPr>
          <w:rFonts w:hint="eastAsia" w:ascii="Times New Roman" w:hAnsi="Times New Roman"/>
          <w:b/>
          <w:bCs/>
          <w:sz w:val="28"/>
          <w:szCs w:val="28"/>
          <w:highlight w:val="none"/>
          <w:lang w:eastAsia="zh-TW"/>
        </w:rPr>
        <w:t>投标文件包装封面参考</w:t>
      </w:r>
      <w:bookmarkEnd w:id="106"/>
    </w:p>
    <w:tbl>
      <w:tblPr>
        <w:tblStyle w:val="22"/>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657" w:type="dxa"/>
          </w:tcPr>
          <w:p>
            <w:pPr>
              <w:pStyle w:val="2"/>
              <w:shd w:val="clear"/>
              <w:spacing w:line="360" w:lineRule="auto"/>
              <w:ind w:firstLine="422" w:firstLineChars="150"/>
              <w:rPr>
                <w:rFonts w:ascii="宋体" w:hAnsi="宋体" w:cs="宋体"/>
                <w:b/>
                <w:sz w:val="28"/>
                <w:szCs w:val="28"/>
                <w:highlight w:val="none"/>
              </w:rPr>
            </w:pPr>
          </w:p>
          <w:p>
            <w:pPr>
              <w:pStyle w:val="2"/>
              <w:shd w:val="clear"/>
              <w:spacing w:line="360" w:lineRule="auto"/>
              <w:ind w:firstLine="422" w:firstLineChars="150"/>
              <w:rPr>
                <w:rFonts w:ascii="宋体" w:hAnsi="宋体" w:cs="宋体"/>
                <w:b/>
                <w:sz w:val="28"/>
                <w:szCs w:val="28"/>
                <w:highlight w:val="none"/>
              </w:rPr>
            </w:pPr>
          </w:p>
          <w:p>
            <w:pPr>
              <w:pStyle w:val="2"/>
              <w:shd w:val="clear"/>
              <w:spacing w:line="360" w:lineRule="auto"/>
              <w:ind w:firstLine="422" w:firstLineChars="150"/>
              <w:rPr>
                <w:rFonts w:ascii="宋体" w:hAnsi="宋体" w:cs="宋体"/>
                <w:b/>
                <w:sz w:val="28"/>
                <w:szCs w:val="28"/>
                <w:highlight w:val="none"/>
              </w:rPr>
            </w:pPr>
          </w:p>
          <w:p>
            <w:pPr>
              <w:pStyle w:val="2"/>
              <w:shd w:val="clear"/>
              <w:spacing w:line="360" w:lineRule="auto"/>
              <w:jc w:val="center"/>
              <w:rPr>
                <w:rFonts w:ascii="黑体" w:hAnsi="Times New Roman" w:eastAsia="黑体"/>
                <w:b/>
                <w:sz w:val="72"/>
                <w:szCs w:val="72"/>
                <w:highlight w:val="none"/>
              </w:rPr>
            </w:pPr>
            <w:r>
              <w:rPr>
                <w:rFonts w:hint="eastAsia" w:ascii="黑体" w:hAnsi="Times New Roman" w:eastAsia="黑体"/>
                <w:b/>
                <w:sz w:val="72"/>
                <w:szCs w:val="72"/>
                <w:highlight w:val="none"/>
              </w:rPr>
              <w:t>投 标 文 件</w:t>
            </w:r>
          </w:p>
          <w:p>
            <w:pPr>
              <w:pStyle w:val="2"/>
              <w:shd w:val="clear"/>
              <w:spacing w:line="360" w:lineRule="auto"/>
              <w:jc w:val="center"/>
              <w:rPr>
                <w:rFonts w:ascii="黑体" w:eastAsia="黑体"/>
                <w:b/>
                <w:sz w:val="32"/>
                <w:highlight w:val="none"/>
              </w:rPr>
            </w:pPr>
            <w:r>
              <w:rPr>
                <w:rFonts w:hint="eastAsia" w:ascii="黑体" w:eastAsia="黑体"/>
                <w:b/>
                <w:sz w:val="52"/>
                <w:szCs w:val="52"/>
                <w:highlight w:val="none"/>
              </w:rPr>
              <w:t xml:space="preserve">口 </w:t>
            </w:r>
            <w:r>
              <w:rPr>
                <w:rFonts w:hint="eastAsia" w:ascii="黑体" w:eastAsia="黑体"/>
                <w:b/>
                <w:sz w:val="32"/>
                <w:highlight w:val="none"/>
              </w:rPr>
              <w:t>开标信封</w:t>
            </w:r>
          </w:p>
          <w:p>
            <w:pPr>
              <w:pStyle w:val="2"/>
              <w:shd w:val="clear"/>
              <w:spacing w:line="360" w:lineRule="auto"/>
              <w:ind w:firstLine="3654" w:firstLineChars="700"/>
              <w:rPr>
                <w:rFonts w:ascii="黑体" w:eastAsia="黑体"/>
                <w:b/>
                <w:sz w:val="32"/>
                <w:highlight w:val="none"/>
              </w:rPr>
            </w:pPr>
            <w:r>
              <w:rPr>
                <w:rFonts w:hint="eastAsia" w:ascii="黑体" w:eastAsia="黑体"/>
                <w:b/>
                <w:sz w:val="52"/>
                <w:szCs w:val="52"/>
                <w:highlight w:val="none"/>
              </w:rPr>
              <w:t xml:space="preserve">口 </w:t>
            </w:r>
            <w:r>
              <w:rPr>
                <w:rFonts w:hint="eastAsia" w:ascii="黑体" w:eastAsia="黑体"/>
                <w:b/>
                <w:sz w:val="32"/>
                <w:highlight w:val="none"/>
              </w:rPr>
              <w:t>正本</w:t>
            </w:r>
          </w:p>
          <w:p>
            <w:pPr>
              <w:pStyle w:val="2"/>
              <w:shd w:val="clear"/>
              <w:spacing w:line="360" w:lineRule="auto"/>
              <w:ind w:firstLine="3654" w:firstLineChars="700"/>
              <w:rPr>
                <w:rFonts w:ascii="黑体" w:eastAsia="黑体"/>
                <w:b/>
                <w:sz w:val="32"/>
                <w:highlight w:val="none"/>
              </w:rPr>
            </w:pPr>
            <w:r>
              <w:rPr>
                <w:rFonts w:hint="eastAsia" w:ascii="黑体" w:eastAsia="黑体"/>
                <w:b/>
                <w:sz w:val="52"/>
                <w:szCs w:val="52"/>
                <w:highlight w:val="none"/>
              </w:rPr>
              <w:t xml:space="preserve">口 </w:t>
            </w:r>
            <w:r>
              <w:rPr>
                <w:rFonts w:hint="eastAsia" w:ascii="黑体" w:eastAsia="黑体"/>
                <w:b/>
                <w:sz w:val="32"/>
                <w:highlight w:val="none"/>
              </w:rPr>
              <w:t>副本</w:t>
            </w:r>
          </w:p>
          <w:p>
            <w:pPr>
              <w:pStyle w:val="2"/>
              <w:shd w:val="clear"/>
              <w:spacing w:line="360" w:lineRule="auto"/>
              <w:rPr>
                <w:rFonts w:ascii="宋体" w:hAnsi="宋体" w:cs="宋体"/>
                <w:b/>
                <w:sz w:val="28"/>
                <w:szCs w:val="28"/>
                <w:highlight w:val="none"/>
              </w:rPr>
            </w:pPr>
          </w:p>
          <w:p>
            <w:pPr>
              <w:pStyle w:val="2"/>
              <w:shd w:val="clear"/>
              <w:spacing w:line="400" w:lineRule="exact"/>
              <w:ind w:firstLine="900" w:firstLineChars="320"/>
              <w:rPr>
                <w:rFonts w:ascii="仿宋_GB2312" w:hAnsi="Times New Roman" w:eastAsia="仿宋_GB2312"/>
                <w:b/>
                <w:sz w:val="28"/>
                <w:szCs w:val="28"/>
                <w:highlight w:val="none"/>
              </w:rPr>
            </w:pPr>
            <w:r>
              <w:rPr>
                <w:rFonts w:hint="eastAsia" w:ascii="仿宋_GB2312" w:hAnsi="Times New Roman" w:eastAsia="仿宋_GB2312"/>
                <w:b/>
                <w:sz w:val="28"/>
                <w:szCs w:val="28"/>
                <w:highlight w:val="none"/>
              </w:rPr>
              <w:t>项目编号：BDGZ2023024</w:t>
            </w:r>
          </w:p>
          <w:p>
            <w:pPr>
              <w:pStyle w:val="2"/>
              <w:shd w:val="clear"/>
              <w:spacing w:line="400" w:lineRule="exact"/>
              <w:ind w:firstLine="900" w:firstLineChars="320"/>
              <w:rPr>
                <w:rFonts w:ascii="仿宋_GB2312" w:hAnsi="Times New Roman" w:eastAsia="仿宋_GB2312"/>
                <w:b/>
                <w:sz w:val="28"/>
                <w:szCs w:val="28"/>
                <w:highlight w:val="none"/>
              </w:rPr>
            </w:pPr>
            <w:r>
              <w:rPr>
                <w:rFonts w:hint="eastAsia" w:ascii="仿宋_GB2312" w:hAnsi="Times New Roman" w:eastAsia="仿宋_GB2312"/>
                <w:b/>
                <w:sz w:val="28"/>
                <w:szCs w:val="28"/>
                <w:highlight w:val="none"/>
              </w:rPr>
              <w:t>项目名称：千灯湖创投特色小镇核心区物业管理服务</w:t>
            </w:r>
          </w:p>
          <w:p>
            <w:pPr>
              <w:pStyle w:val="2"/>
              <w:shd w:val="clear"/>
              <w:spacing w:line="400" w:lineRule="exact"/>
              <w:ind w:firstLine="900" w:firstLineChars="320"/>
              <w:rPr>
                <w:rFonts w:ascii="仿宋_GB2312" w:hAnsi="Times New Roman" w:eastAsia="仿宋_GB2312"/>
                <w:b/>
                <w:sz w:val="28"/>
                <w:szCs w:val="28"/>
                <w:highlight w:val="none"/>
              </w:rPr>
            </w:pPr>
            <w:r>
              <w:rPr>
                <w:rFonts w:hint="eastAsia" w:ascii="仿宋_GB2312" w:hAnsi="Times New Roman" w:eastAsia="仿宋_GB2312"/>
                <w:b/>
                <w:sz w:val="28"/>
                <w:szCs w:val="28"/>
                <w:highlight w:val="none"/>
              </w:rPr>
              <w:t>投标人名称：</w:t>
            </w:r>
          </w:p>
          <w:p>
            <w:pPr>
              <w:pStyle w:val="2"/>
              <w:shd w:val="clear"/>
              <w:spacing w:line="400" w:lineRule="exact"/>
              <w:ind w:firstLine="900" w:firstLineChars="320"/>
              <w:rPr>
                <w:rFonts w:ascii="仿宋_GB2312" w:hAnsi="Times New Roman" w:eastAsia="仿宋_GB2312"/>
                <w:b/>
                <w:sz w:val="28"/>
                <w:szCs w:val="28"/>
                <w:highlight w:val="none"/>
              </w:rPr>
            </w:pPr>
            <w:r>
              <w:rPr>
                <w:rFonts w:hint="eastAsia" w:ascii="仿宋_GB2312" w:hAnsi="Times New Roman" w:eastAsia="仿宋_GB2312"/>
                <w:b/>
                <w:sz w:val="28"/>
                <w:szCs w:val="28"/>
                <w:highlight w:val="none"/>
              </w:rPr>
              <w:t>投标人地址：</w:t>
            </w:r>
          </w:p>
          <w:p>
            <w:pPr>
              <w:pStyle w:val="2"/>
              <w:shd w:val="clear"/>
              <w:spacing w:line="400" w:lineRule="exact"/>
              <w:ind w:firstLine="900" w:firstLineChars="320"/>
              <w:rPr>
                <w:rFonts w:ascii="仿宋_GB2312" w:hAnsi="Times New Roman" w:eastAsia="仿宋_GB2312"/>
                <w:b/>
                <w:sz w:val="28"/>
                <w:szCs w:val="28"/>
                <w:highlight w:val="none"/>
              </w:rPr>
            </w:pPr>
            <w:r>
              <w:rPr>
                <w:rFonts w:hint="eastAsia" w:ascii="仿宋_GB2312" w:hAnsi="Times New Roman" w:eastAsia="仿宋_GB2312"/>
                <w:b/>
                <w:sz w:val="28"/>
                <w:szCs w:val="28"/>
                <w:highlight w:val="none"/>
              </w:rPr>
              <w:t xml:space="preserve">递交地址： </w:t>
            </w:r>
          </w:p>
          <w:p>
            <w:pPr>
              <w:shd w:val="clear"/>
              <w:tabs>
                <w:tab w:val="left" w:pos="851"/>
              </w:tabs>
              <w:autoSpaceDE w:val="0"/>
              <w:autoSpaceDN w:val="0"/>
              <w:adjustRightInd w:val="0"/>
              <w:snapToGrid w:val="0"/>
              <w:spacing w:line="420" w:lineRule="auto"/>
              <w:rPr>
                <w:rFonts w:ascii="宋体" w:hAnsi="宋体" w:cs="宋体"/>
                <w:b/>
                <w:sz w:val="28"/>
                <w:szCs w:val="28"/>
                <w:highlight w:val="none"/>
              </w:rPr>
            </w:pPr>
            <w:r>
              <w:rPr>
                <w:rFonts w:hint="eastAsia" w:ascii="宋体" w:hAnsi="宋体" w:cs="宋体"/>
                <w:b/>
                <w:sz w:val="28"/>
                <w:szCs w:val="28"/>
                <w:highlight w:val="none"/>
              </w:rPr>
              <w:t xml:space="preserve">     </w:t>
            </w:r>
            <w:r>
              <w:rPr>
                <w:rFonts w:hint="eastAsia" w:ascii="仿宋" w:hAnsi="仿宋" w:eastAsia="仿宋" w:cs="仿宋"/>
                <w:b/>
                <w:sz w:val="28"/>
                <w:szCs w:val="28"/>
                <w:highlight w:val="none"/>
              </w:rPr>
              <w:t xml:space="preserve"> (</w:t>
            </w:r>
            <w:r>
              <w:rPr>
                <w:rFonts w:hint="eastAsia" w:ascii="仿宋" w:hAnsi="仿宋" w:eastAsia="仿宋" w:cs="仿宋"/>
                <w:b/>
                <w:sz w:val="28"/>
                <w:szCs w:val="28"/>
                <w:highlight w:val="none"/>
                <w:u w:val="single"/>
              </w:rPr>
              <w:t xml:space="preserve">    </w:t>
            </w:r>
            <w:r>
              <w:rPr>
                <w:rFonts w:hint="eastAsia" w:ascii="仿宋" w:hAnsi="仿宋" w:eastAsia="仿宋" w:cs="仿宋"/>
                <w:b/>
                <w:sz w:val="28"/>
                <w:szCs w:val="28"/>
                <w:highlight w:val="none"/>
              </w:rPr>
              <w:t>年</w:t>
            </w:r>
            <w:r>
              <w:rPr>
                <w:rFonts w:hint="eastAsia" w:ascii="仿宋" w:hAnsi="仿宋" w:eastAsia="仿宋" w:cs="仿宋"/>
                <w:b/>
                <w:sz w:val="28"/>
                <w:szCs w:val="28"/>
                <w:highlight w:val="none"/>
                <w:u w:val="single"/>
              </w:rPr>
              <w:t xml:space="preserve">    </w:t>
            </w:r>
            <w:r>
              <w:rPr>
                <w:rFonts w:hint="eastAsia" w:ascii="仿宋" w:hAnsi="仿宋" w:eastAsia="仿宋" w:cs="仿宋"/>
                <w:b/>
                <w:sz w:val="28"/>
                <w:szCs w:val="28"/>
                <w:highlight w:val="none"/>
              </w:rPr>
              <w:t>月</w:t>
            </w:r>
            <w:r>
              <w:rPr>
                <w:rFonts w:hint="eastAsia" w:ascii="仿宋" w:hAnsi="仿宋" w:eastAsia="仿宋" w:cs="仿宋"/>
                <w:b/>
                <w:sz w:val="28"/>
                <w:szCs w:val="28"/>
                <w:highlight w:val="none"/>
                <w:u w:val="single"/>
              </w:rPr>
              <w:t xml:space="preserve">    </w:t>
            </w:r>
            <w:r>
              <w:rPr>
                <w:rFonts w:hint="eastAsia" w:ascii="仿宋" w:hAnsi="仿宋" w:eastAsia="仿宋" w:cs="仿宋"/>
                <w:b/>
                <w:sz w:val="28"/>
                <w:szCs w:val="28"/>
                <w:highlight w:val="none"/>
              </w:rPr>
              <w:t>日</w:t>
            </w:r>
            <w:r>
              <w:rPr>
                <w:rFonts w:hint="eastAsia" w:ascii="仿宋" w:hAnsi="仿宋" w:eastAsia="仿宋" w:cs="仿宋"/>
                <w:b/>
                <w:sz w:val="28"/>
                <w:szCs w:val="28"/>
                <w:highlight w:val="none"/>
                <w:u w:val="single"/>
              </w:rPr>
              <w:t xml:space="preserve">    </w:t>
            </w:r>
            <w:r>
              <w:rPr>
                <w:rFonts w:hint="eastAsia" w:ascii="仿宋" w:hAnsi="仿宋" w:eastAsia="仿宋" w:cs="仿宋"/>
                <w:b/>
                <w:sz w:val="28"/>
                <w:szCs w:val="28"/>
                <w:highlight w:val="none"/>
              </w:rPr>
              <w:t>时</w:t>
            </w:r>
            <w:r>
              <w:rPr>
                <w:rFonts w:hint="eastAsia" w:ascii="仿宋" w:hAnsi="仿宋" w:eastAsia="仿宋" w:cs="仿宋"/>
                <w:b/>
                <w:sz w:val="28"/>
                <w:szCs w:val="28"/>
                <w:highlight w:val="none"/>
                <w:u w:val="single"/>
              </w:rPr>
              <w:t xml:space="preserve">    </w:t>
            </w:r>
            <w:r>
              <w:rPr>
                <w:rFonts w:hint="eastAsia" w:ascii="仿宋" w:hAnsi="仿宋" w:eastAsia="仿宋" w:cs="仿宋"/>
                <w:b/>
                <w:sz w:val="28"/>
                <w:szCs w:val="28"/>
                <w:highlight w:val="none"/>
              </w:rPr>
              <w:t>分)之前不得启封</w:t>
            </w:r>
          </w:p>
        </w:tc>
      </w:tr>
    </w:tbl>
    <w:p>
      <w:pPr>
        <w:shd w:val="clear"/>
        <w:rPr>
          <w:rFonts w:ascii="宋体" w:hAnsi="宋体"/>
          <w:b/>
          <w:sz w:val="28"/>
          <w:szCs w:val="28"/>
          <w:highlight w:val="none"/>
          <w:lang w:eastAsia="zh-TW"/>
        </w:rPr>
      </w:pPr>
      <w:bookmarkStart w:id="107" w:name="_Toc275865604"/>
      <w:bookmarkStart w:id="108" w:name="_Toc10905"/>
      <w:bookmarkStart w:id="109" w:name="_Toc1718"/>
      <w:r>
        <w:rPr>
          <w:rFonts w:hint="eastAsia" w:ascii="宋体" w:hAnsi="宋体"/>
          <w:b/>
          <w:sz w:val="28"/>
          <w:szCs w:val="28"/>
          <w:highlight w:val="none"/>
          <w:lang w:eastAsia="zh-TW"/>
        </w:rPr>
        <w:br w:type="page"/>
      </w:r>
    </w:p>
    <w:p>
      <w:pPr>
        <w:shd w:val="clear"/>
        <w:autoSpaceDE w:val="0"/>
        <w:autoSpaceDN w:val="0"/>
        <w:adjustRightInd w:val="0"/>
        <w:snapToGrid w:val="0"/>
        <w:spacing w:before="312" w:beforeLines="100" w:after="312" w:afterLines="100" w:line="360" w:lineRule="auto"/>
        <w:ind w:left="720"/>
        <w:jc w:val="center"/>
        <w:outlineLvl w:val="0"/>
        <w:rPr>
          <w:rFonts w:ascii="宋体" w:hAnsi="宋体"/>
          <w:b/>
          <w:sz w:val="28"/>
          <w:szCs w:val="28"/>
          <w:highlight w:val="none"/>
          <w:lang w:eastAsia="zh-TW"/>
        </w:rPr>
      </w:pPr>
      <w:r>
        <w:rPr>
          <w:rFonts w:hint="eastAsia" w:ascii="宋体" w:hAnsi="宋体"/>
          <w:b/>
          <w:sz w:val="28"/>
          <w:szCs w:val="28"/>
          <w:highlight w:val="none"/>
          <w:lang w:eastAsia="zh-TW"/>
        </w:rPr>
        <w:t>投标文件目录表</w:t>
      </w:r>
      <w:bookmarkEnd w:id="107"/>
      <w:bookmarkEnd w:id="108"/>
      <w:bookmarkEnd w:id="109"/>
      <w:bookmarkStart w:id="110" w:name="投标文件目录表"/>
      <w:bookmarkEnd w:id="110"/>
    </w:p>
    <w:p>
      <w:pPr>
        <w:shd w:val="clear"/>
        <w:rPr>
          <w:rFonts w:ascii="宋体" w:hAnsi="宋体"/>
          <w:bCs/>
          <w:szCs w:val="21"/>
          <w:highlight w:val="none"/>
          <w:lang w:eastAsia="zh-TW"/>
        </w:rPr>
      </w:pPr>
      <w:r>
        <w:rPr>
          <w:rFonts w:hint="eastAsia" w:ascii="宋体" w:hAnsi="宋体"/>
          <w:bCs/>
          <w:szCs w:val="21"/>
          <w:highlight w:val="none"/>
          <w:lang w:eastAsia="zh-TW"/>
        </w:rPr>
        <w:t>项目名称：</w:t>
      </w:r>
      <w:r>
        <w:rPr>
          <w:rFonts w:hint="eastAsia" w:ascii="宋体" w:hAnsi="宋体"/>
          <w:bCs/>
          <w:szCs w:val="21"/>
          <w:highlight w:val="none"/>
        </w:rPr>
        <w:t>千灯湖创投特色小镇核心区物业管理服务</w:t>
      </w:r>
    </w:p>
    <w:p>
      <w:pPr>
        <w:shd w:val="clear"/>
        <w:rPr>
          <w:rFonts w:ascii="宋体" w:hAnsi="宋体"/>
          <w:bCs/>
          <w:szCs w:val="21"/>
          <w:highlight w:val="none"/>
        </w:rPr>
      </w:pPr>
      <w:r>
        <w:rPr>
          <w:rFonts w:hint="eastAsia" w:ascii="宋体" w:hAnsi="宋体"/>
          <w:bCs/>
          <w:szCs w:val="21"/>
          <w:highlight w:val="none"/>
          <w:lang w:eastAsia="zh-TW"/>
        </w:rPr>
        <w:t>项目编号：</w:t>
      </w:r>
      <w:r>
        <w:rPr>
          <w:rFonts w:hint="eastAsia" w:ascii="宋体" w:hAnsi="宋体"/>
          <w:bCs/>
          <w:szCs w:val="21"/>
          <w:highlight w:val="none"/>
        </w:rPr>
        <w:t>BDGZ2023024</w:t>
      </w:r>
    </w:p>
    <w:tbl>
      <w:tblPr>
        <w:tblStyle w:val="22"/>
        <w:tblW w:w="9205"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150" w:type="dxa"/>
          <w:left w:w="150" w:type="dxa"/>
          <w:bottom w:w="150" w:type="dxa"/>
          <w:right w:w="150" w:type="dxa"/>
        </w:tblCellMar>
      </w:tblPr>
      <w:tblGrid>
        <w:gridCol w:w="831"/>
        <w:gridCol w:w="5561"/>
        <w:gridCol w:w="1215"/>
        <w:gridCol w:w="159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90" w:hRule="atLeast"/>
        </w:trPr>
        <w:tc>
          <w:tcPr>
            <w:tcW w:w="831" w:type="dxa"/>
            <w:vAlign w:val="center"/>
          </w:tcPr>
          <w:p>
            <w:pPr>
              <w:shd w:val="clear"/>
              <w:adjustRightInd w:val="0"/>
              <w:snapToGrid w:val="0"/>
              <w:jc w:val="center"/>
              <w:rPr>
                <w:rFonts w:ascii="宋体" w:hAnsi="宋体" w:cs="宋体"/>
                <w:szCs w:val="21"/>
                <w:highlight w:val="none"/>
              </w:rPr>
            </w:pPr>
            <w:r>
              <w:rPr>
                <w:rStyle w:val="25"/>
                <w:rFonts w:hint="eastAsia" w:ascii="宋体" w:hAnsi="宋体"/>
                <w:szCs w:val="21"/>
                <w:highlight w:val="none"/>
              </w:rPr>
              <w:t>评审内容</w:t>
            </w:r>
          </w:p>
        </w:tc>
        <w:tc>
          <w:tcPr>
            <w:tcW w:w="5561" w:type="dxa"/>
            <w:vAlign w:val="center"/>
          </w:tcPr>
          <w:p>
            <w:pPr>
              <w:shd w:val="clear"/>
              <w:adjustRightInd w:val="0"/>
              <w:snapToGrid w:val="0"/>
              <w:jc w:val="center"/>
              <w:rPr>
                <w:rStyle w:val="25"/>
                <w:rFonts w:ascii="宋体" w:hAnsi="宋体"/>
                <w:szCs w:val="21"/>
                <w:highlight w:val="none"/>
              </w:rPr>
            </w:pPr>
            <w:r>
              <w:rPr>
                <w:rStyle w:val="25"/>
                <w:rFonts w:hint="eastAsia" w:ascii="宋体" w:hAnsi="宋体"/>
                <w:szCs w:val="21"/>
                <w:highlight w:val="none"/>
              </w:rPr>
              <w:t>磋商文件要求</w:t>
            </w:r>
          </w:p>
          <w:p>
            <w:pPr>
              <w:shd w:val="clear"/>
              <w:adjustRightInd w:val="0"/>
              <w:snapToGrid w:val="0"/>
              <w:jc w:val="center"/>
              <w:rPr>
                <w:rFonts w:ascii="宋体" w:hAnsi="宋体" w:cs="宋体"/>
                <w:szCs w:val="21"/>
                <w:highlight w:val="none"/>
              </w:rPr>
            </w:pPr>
            <w:r>
              <w:rPr>
                <w:rFonts w:hint="eastAsia" w:ascii="宋体" w:hAnsi="宋体"/>
                <w:szCs w:val="21"/>
                <w:highlight w:val="none"/>
              </w:rPr>
              <w:t>（详见《资格性和符合性审查条款》各项）</w:t>
            </w:r>
          </w:p>
        </w:tc>
        <w:tc>
          <w:tcPr>
            <w:tcW w:w="1215" w:type="dxa"/>
            <w:vAlign w:val="center"/>
          </w:tcPr>
          <w:p>
            <w:pPr>
              <w:shd w:val="clear"/>
              <w:adjustRightInd w:val="0"/>
              <w:snapToGrid w:val="0"/>
              <w:jc w:val="center"/>
              <w:rPr>
                <w:rFonts w:ascii="宋体" w:hAnsi="宋体" w:cs="宋体"/>
                <w:szCs w:val="21"/>
                <w:highlight w:val="none"/>
              </w:rPr>
            </w:pPr>
            <w:r>
              <w:rPr>
                <w:rStyle w:val="25"/>
                <w:rFonts w:hint="eastAsia" w:ascii="宋体" w:hAnsi="宋体"/>
                <w:szCs w:val="21"/>
                <w:highlight w:val="none"/>
              </w:rPr>
              <w:t>自查结论</w:t>
            </w:r>
          </w:p>
        </w:tc>
        <w:tc>
          <w:tcPr>
            <w:tcW w:w="1598" w:type="dxa"/>
            <w:vAlign w:val="center"/>
          </w:tcPr>
          <w:p>
            <w:pPr>
              <w:shd w:val="clear"/>
              <w:adjustRightInd w:val="0"/>
              <w:snapToGrid w:val="0"/>
              <w:jc w:val="center"/>
              <w:rPr>
                <w:rFonts w:ascii="宋体" w:hAnsi="宋体" w:cs="宋体"/>
                <w:szCs w:val="21"/>
                <w:highlight w:val="none"/>
              </w:rPr>
            </w:pPr>
            <w:r>
              <w:rPr>
                <w:rStyle w:val="25"/>
                <w:rFonts w:hint="eastAsia" w:ascii="宋体" w:hAnsi="宋体"/>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6038" w:hRule="atLeast"/>
        </w:trPr>
        <w:tc>
          <w:tcPr>
            <w:tcW w:w="831" w:type="dxa"/>
            <w:vMerge w:val="restart"/>
            <w:vAlign w:val="center"/>
          </w:tcPr>
          <w:p>
            <w:pPr>
              <w:pStyle w:val="63"/>
              <w:shd w:val="clear"/>
              <w:adjustRightInd w:val="0"/>
              <w:snapToGrid w:val="0"/>
              <w:spacing w:before="0" w:beforeAutospacing="0" w:after="0" w:afterAutospacing="0"/>
              <w:jc w:val="center"/>
              <w:rPr>
                <w:b/>
                <w:sz w:val="21"/>
                <w:szCs w:val="21"/>
                <w:highlight w:val="none"/>
              </w:rPr>
            </w:pPr>
            <w:r>
              <w:rPr>
                <w:rFonts w:hint="eastAsia"/>
                <w:b/>
                <w:sz w:val="21"/>
                <w:szCs w:val="21"/>
                <w:highlight w:val="none"/>
              </w:rPr>
              <w:t>资格性审查</w:t>
            </w:r>
          </w:p>
        </w:tc>
        <w:tc>
          <w:tcPr>
            <w:tcW w:w="5561" w:type="dxa"/>
            <w:vAlign w:val="center"/>
          </w:tcPr>
          <w:p>
            <w:pPr>
              <w:shd w:val="clear"/>
              <w:snapToGrid w:val="0"/>
              <w:rPr>
                <w:rFonts w:ascii="宋体" w:hAnsi="宋体" w:cs="宋体"/>
                <w:kern w:val="0"/>
                <w:szCs w:val="21"/>
                <w:highlight w:val="none"/>
              </w:rPr>
            </w:pPr>
            <w:r>
              <w:rPr>
                <w:rFonts w:hint="eastAsia" w:ascii="宋体" w:hAnsi="宋体" w:cs="宋体"/>
                <w:kern w:val="0"/>
                <w:szCs w:val="21"/>
                <w:highlight w:val="none"/>
              </w:rPr>
              <w:t>具备以下资格条件，提供下列材料：</w:t>
            </w:r>
          </w:p>
          <w:p>
            <w:pPr>
              <w:shd w:val="clear"/>
              <w:snapToGrid w:val="0"/>
              <w:rPr>
                <w:rFonts w:ascii="宋体" w:hAnsi="宋体" w:cs="宋体"/>
                <w:kern w:val="0"/>
                <w:szCs w:val="21"/>
                <w:highlight w:val="none"/>
              </w:rPr>
            </w:pPr>
            <w:r>
              <w:rPr>
                <w:rFonts w:hint="eastAsia" w:ascii="宋体" w:hAnsi="宋体" w:cs="宋体"/>
                <w:kern w:val="0"/>
                <w:szCs w:val="21"/>
                <w:highlight w:val="none"/>
              </w:rPr>
              <w:t>1.必须是具有独立承担民事责任能力的在中华人民共和国境内注册的法人（提供有效的营业执照复印件）。</w:t>
            </w:r>
          </w:p>
          <w:p>
            <w:pPr>
              <w:shd w:val="clear"/>
              <w:snapToGrid w:val="0"/>
              <w:rPr>
                <w:rFonts w:ascii="宋体" w:hAnsi="宋体" w:cs="宋体"/>
                <w:kern w:val="0"/>
                <w:szCs w:val="21"/>
                <w:highlight w:val="none"/>
              </w:rPr>
            </w:pPr>
            <w:r>
              <w:rPr>
                <w:rFonts w:hint="eastAsia" w:ascii="宋体" w:hAnsi="宋体" w:cs="宋体"/>
                <w:kern w:val="0"/>
                <w:szCs w:val="21"/>
                <w:highlight w:val="none"/>
              </w:rPr>
              <w:t>2.财务会计制度，须提供下列任一项证明材料：</w:t>
            </w:r>
          </w:p>
          <w:p>
            <w:pPr>
              <w:shd w:val="clear"/>
              <w:snapToGrid w:val="0"/>
              <w:rPr>
                <w:rFonts w:ascii="宋体" w:hAnsi="宋体" w:cs="宋体"/>
                <w:kern w:val="0"/>
                <w:szCs w:val="21"/>
                <w:highlight w:val="none"/>
              </w:rPr>
            </w:pPr>
            <w:r>
              <w:rPr>
                <w:rFonts w:hint="eastAsia" w:ascii="宋体" w:hAnsi="宋体" w:cs="宋体"/>
                <w:kern w:val="0"/>
                <w:szCs w:val="21"/>
                <w:highlight w:val="none"/>
              </w:rPr>
              <w:t>(1)提供2021年度或2022年度经第三方会计师事务所出具财务报告（包括资产负债表、利润表、现金流量表、所有者权益变动表及其附注），并能清晰显示第三方会计师事务所的印章和注册会计师签字盖章，且能反映审计结论(要求：审计报告由第三方会计师事务所或其它合法审计机构出具，须包含会计师事务所或审计机构的盖章页)。</w:t>
            </w:r>
          </w:p>
          <w:p>
            <w:pPr>
              <w:shd w:val="clear"/>
              <w:snapToGrid w:val="0"/>
              <w:rPr>
                <w:rFonts w:ascii="宋体" w:hAnsi="宋体" w:cs="宋体"/>
                <w:kern w:val="0"/>
                <w:szCs w:val="21"/>
                <w:highlight w:val="none"/>
              </w:rPr>
            </w:pPr>
            <w:r>
              <w:rPr>
                <w:rFonts w:hint="eastAsia" w:ascii="宋体" w:hAnsi="宋体" w:cs="宋体"/>
                <w:kern w:val="0"/>
                <w:szCs w:val="21"/>
                <w:highlight w:val="none"/>
              </w:rPr>
              <w:t>(2)基本开户银行出具的资信证明【要求：提供投标截止之日前6个月内（含投标截止时间当月）任意一个月出具的资信证明。如资信证明不能体现基本开户账户的，应另附开户许可证（无开户许可证的，可提供由银行开具的《基本存款账户信息》（公户账户主档）或其他能反应资信证明是基本开户银行出具的证明材料】。</w:t>
            </w:r>
          </w:p>
          <w:p>
            <w:pPr>
              <w:shd w:val="clear"/>
              <w:snapToGrid w:val="0"/>
              <w:rPr>
                <w:rFonts w:ascii="宋体" w:hAnsi="宋体" w:cs="宋体"/>
                <w:kern w:val="0"/>
                <w:szCs w:val="21"/>
                <w:highlight w:val="none"/>
              </w:rPr>
            </w:pPr>
            <w:r>
              <w:rPr>
                <w:rFonts w:hint="eastAsia" w:ascii="宋体" w:hAnsi="宋体" w:cs="宋体"/>
                <w:kern w:val="0"/>
                <w:szCs w:val="21"/>
                <w:highlight w:val="none"/>
              </w:rPr>
              <w:t>3.提供投标截止日前6个月内（含投标截止时间当月）任意1个月依法缴纳税收和社会保障资金的相关材料。如依法免税或不需要缴纳社会保障资金的，提供相应证明材料。</w:t>
            </w:r>
          </w:p>
          <w:p>
            <w:pPr>
              <w:shd w:val="clear"/>
              <w:snapToGrid w:val="0"/>
              <w:rPr>
                <w:rFonts w:ascii="宋体" w:hAnsi="宋体" w:cs="宋体"/>
                <w:kern w:val="0"/>
                <w:szCs w:val="21"/>
                <w:highlight w:val="none"/>
              </w:rPr>
            </w:pPr>
            <w:r>
              <w:rPr>
                <w:rFonts w:hint="eastAsia" w:ascii="宋体" w:hAnsi="宋体" w:cs="宋体"/>
                <w:kern w:val="0"/>
                <w:szCs w:val="21"/>
                <w:highlight w:val="none"/>
              </w:rPr>
              <w:t>4.履行合同所必需的设备和专业技术能力的书面声明（提供《投标人资格声明函》）。</w:t>
            </w:r>
          </w:p>
          <w:p>
            <w:pPr>
              <w:shd w:val="clear"/>
              <w:snapToGrid w:val="0"/>
              <w:rPr>
                <w:rFonts w:ascii="宋体" w:hAnsi="宋体" w:cs="宋体"/>
                <w:szCs w:val="21"/>
                <w:highlight w:val="none"/>
              </w:rPr>
            </w:pPr>
            <w:r>
              <w:rPr>
                <w:rFonts w:hint="eastAsia" w:ascii="宋体" w:hAnsi="宋体" w:cs="宋体"/>
                <w:kern w:val="0"/>
                <w:szCs w:val="21"/>
                <w:highlight w:val="none"/>
              </w:rPr>
              <w:t>5.参与本项目采购活动前三年内，在经营活动中没有重大违法记录的书面声明（提供《投标人资格声明函》）。</w:t>
            </w:r>
          </w:p>
        </w:tc>
        <w:tc>
          <w:tcPr>
            <w:tcW w:w="1215" w:type="dxa"/>
            <w:vAlign w:val="center"/>
          </w:tcPr>
          <w:p>
            <w:pPr>
              <w:shd w:val="clear"/>
              <w:rPr>
                <w:rFonts w:ascii="宋体" w:hAnsi="宋体"/>
                <w:szCs w:val="21"/>
                <w:highlight w:val="none"/>
              </w:rPr>
            </w:pPr>
            <w:r>
              <w:rPr>
                <w:rFonts w:hint="eastAsia" w:ascii="宋体" w:hAnsi="宋体" w:cs="Arial"/>
                <w:szCs w:val="21"/>
                <w:highlight w:val="none"/>
              </w:rPr>
              <w:t>□</w:t>
            </w:r>
            <w:r>
              <w:rPr>
                <w:rFonts w:hint="eastAsia" w:ascii="宋体" w:hAnsi="宋体"/>
                <w:szCs w:val="21"/>
                <w:highlight w:val="none"/>
              </w:rPr>
              <w:t xml:space="preserve">通过 </w:t>
            </w:r>
          </w:p>
          <w:p>
            <w:pPr>
              <w:shd w:val="clear"/>
              <w:rPr>
                <w:rFonts w:ascii="宋体" w:hAnsi="宋体" w:cs="Arial"/>
                <w:szCs w:val="21"/>
                <w:highlight w:val="none"/>
              </w:rPr>
            </w:pPr>
            <w:r>
              <w:rPr>
                <w:rFonts w:hint="eastAsia" w:ascii="宋体" w:hAnsi="宋体" w:cs="Arial"/>
                <w:szCs w:val="21"/>
                <w:highlight w:val="none"/>
              </w:rPr>
              <w:t>□</w:t>
            </w:r>
            <w:r>
              <w:rPr>
                <w:rFonts w:hint="eastAsia" w:ascii="宋体" w:hAnsi="宋体"/>
                <w:szCs w:val="21"/>
                <w:highlight w:val="none"/>
              </w:rPr>
              <w:t>不通过</w:t>
            </w:r>
          </w:p>
        </w:tc>
        <w:tc>
          <w:tcPr>
            <w:tcW w:w="1598" w:type="dxa"/>
            <w:vAlign w:val="center"/>
          </w:tcPr>
          <w:p>
            <w:pPr>
              <w:shd w:val="clear"/>
              <w:jc w:val="center"/>
              <w:rPr>
                <w:rFonts w:ascii="宋体" w:hAnsi="宋体" w:cs="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2113" w:hRule="atLeast"/>
        </w:trPr>
        <w:tc>
          <w:tcPr>
            <w:tcW w:w="831" w:type="dxa"/>
            <w:vMerge w:val="continue"/>
            <w:vAlign w:val="center"/>
          </w:tcPr>
          <w:p>
            <w:pPr>
              <w:shd w:val="clear"/>
              <w:adjustRightInd w:val="0"/>
              <w:snapToGrid w:val="0"/>
              <w:rPr>
                <w:rFonts w:ascii="宋体" w:hAnsi="宋体" w:cs="宋体"/>
                <w:szCs w:val="21"/>
                <w:highlight w:val="none"/>
              </w:rPr>
            </w:pPr>
          </w:p>
        </w:tc>
        <w:tc>
          <w:tcPr>
            <w:tcW w:w="5561" w:type="dxa"/>
            <w:vAlign w:val="center"/>
          </w:tcPr>
          <w:p>
            <w:pPr>
              <w:shd w:val="clear"/>
              <w:wordWrap w:val="0"/>
              <w:jc w:val="left"/>
              <w:rPr>
                <w:rFonts w:ascii="宋体" w:hAnsi="宋体" w:cs="宋体"/>
                <w:szCs w:val="21"/>
                <w:highlight w:val="none"/>
              </w:rPr>
            </w:pPr>
            <w:r>
              <w:rPr>
                <w:rFonts w:hint="eastAsia" w:ascii="宋体" w:hAnsi="宋体" w:cs="宋体"/>
                <w:bCs/>
                <w:szCs w:val="21"/>
                <w:highlight w:val="none"/>
              </w:rPr>
              <w:t>未被列入“信用中国”网站(www.creditchina.gov.cn)“记录失信被执行人或重大税收违法案件当事人名单或政府采购严重违法失信行为”记录名单。【以招标代理机构于投标截止日当天在“信用中国”网站（www.creditchina.gov.cn）查询结果为准，如相关失信记录已失效，供应商需提供相关证明资料】。</w:t>
            </w:r>
          </w:p>
        </w:tc>
        <w:tc>
          <w:tcPr>
            <w:tcW w:w="1215" w:type="dxa"/>
            <w:vAlign w:val="center"/>
          </w:tcPr>
          <w:p>
            <w:pPr>
              <w:shd w:val="clear"/>
              <w:rPr>
                <w:rFonts w:ascii="宋体" w:hAnsi="宋体"/>
                <w:szCs w:val="21"/>
                <w:highlight w:val="none"/>
              </w:rPr>
            </w:pPr>
            <w:r>
              <w:rPr>
                <w:rFonts w:hint="eastAsia" w:ascii="宋体" w:hAnsi="宋体" w:cs="Arial"/>
                <w:szCs w:val="21"/>
                <w:highlight w:val="none"/>
              </w:rPr>
              <w:t>□</w:t>
            </w:r>
            <w:r>
              <w:rPr>
                <w:rFonts w:hint="eastAsia" w:ascii="宋体" w:hAnsi="宋体"/>
                <w:szCs w:val="21"/>
                <w:highlight w:val="none"/>
              </w:rPr>
              <w:t xml:space="preserve">通过 </w:t>
            </w:r>
          </w:p>
          <w:p>
            <w:pPr>
              <w:shd w:val="clear"/>
              <w:rPr>
                <w:rFonts w:ascii="宋体" w:hAnsi="宋体" w:cs="宋体"/>
                <w:szCs w:val="21"/>
                <w:highlight w:val="none"/>
              </w:rPr>
            </w:pPr>
            <w:r>
              <w:rPr>
                <w:rFonts w:hint="eastAsia" w:ascii="宋体" w:hAnsi="宋体" w:cs="Arial"/>
                <w:szCs w:val="21"/>
                <w:highlight w:val="none"/>
              </w:rPr>
              <w:t>□</w:t>
            </w:r>
            <w:r>
              <w:rPr>
                <w:rFonts w:hint="eastAsia" w:ascii="宋体" w:hAnsi="宋体"/>
                <w:szCs w:val="21"/>
                <w:highlight w:val="none"/>
              </w:rPr>
              <w:t>不通过</w:t>
            </w:r>
          </w:p>
        </w:tc>
        <w:tc>
          <w:tcPr>
            <w:tcW w:w="1598" w:type="dxa"/>
            <w:vAlign w:val="center"/>
          </w:tcPr>
          <w:p>
            <w:pPr>
              <w:shd w:val="clear"/>
              <w:jc w:val="center"/>
              <w:rPr>
                <w:rFonts w:ascii="宋体" w:hAnsi="宋体" w:cs="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90" w:hRule="atLeast"/>
        </w:trPr>
        <w:tc>
          <w:tcPr>
            <w:tcW w:w="831" w:type="dxa"/>
            <w:vMerge w:val="continue"/>
            <w:vAlign w:val="center"/>
          </w:tcPr>
          <w:p>
            <w:pPr>
              <w:shd w:val="clear"/>
              <w:adjustRightInd w:val="0"/>
              <w:snapToGrid w:val="0"/>
              <w:rPr>
                <w:rFonts w:ascii="宋体" w:hAnsi="宋体" w:cs="宋体"/>
                <w:szCs w:val="21"/>
                <w:highlight w:val="none"/>
              </w:rPr>
            </w:pPr>
          </w:p>
        </w:tc>
        <w:tc>
          <w:tcPr>
            <w:tcW w:w="5561" w:type="dxa"/>
            <w:vAlign w:val="center"/>
          </w:tcPr>
          <w:p>
            <w:pPr>
              <w:shd w:val="clear"/>
              <w:rPr>
                <w:rFonts w:ascii="宋体" w:hAnsi="宋体"/>
                <w:bCs/>
                <w:szCs w:val="20"/>
                <w:highlight w:val="none"/>
              </w:rPr>
            </w:pPr>
            <w:r>
              <w:rPr>
                <w:rFonts w:hint="eastAsia" w:ascii="宋体" w:hAnsi="宋体" w:cs="宋体"/>
                <w:szCs w:val="21"/>
                <w:highlight w:val="none"/>
              </w:rPr>
              <w:t>单位负责人为同一人或者存在直接控股、管理关系的不同供应商，不得同时参加本采购项目投标。为本项目提供整体设计、规范编制或者项目管理、监理、检测等服务的供应商，不得再参与本项目投标。（提供</w:t>
            </w:r>
            <w:r>
              <w:rPr>
                <w:rFonts w:hint="eastAsia" w:ascii="宋体" w:hAnsi="宋体" w:cs="宋体"/>
                <w:bCs/>
                <w:szCs w:val="21"/>
                <w:highlight w:val="none"/>
              </w:rPr>
              <w:t>《投标人资格声明函》</w:t>
            </w:r>
            <w:r>
              <w:rPr>
                <w:rFonts w:hint="eastAsia" w:ascii="宋体" w:hAnsi="宋体" w:cs="宋体"/>
                <w:szCs w:val="21"/>
                <w:highlight w:val="none"/>
              </w:rPr>
              <w:t>）。</w:t>
            </w:r>
          </w:p>
        </w:tc>
        <w:tc>
          <w:tcPr>
            <w:tcW w:w="1215" w:type="dxa"/>
            <w:vAlign w:val="center"/>
          </w:tcPr>
          <w:p>
            <w:pPr>
              <w:shd w:val="clear"/>
              <w:rPr>
                <w:rFonts w:ascii="宋体" w:hAnsi="宋体"/>
                <w:szCs w:val="21"/>
                <w:highlight w:val="none"/>
              </w:rPr>
            </w:pPr>
            <w:r>
              <w:rPr>
                <w:rFonts w:hint="eastAsia" w:ascii="宋体" w:hAnsi="宋体" w:cs="Arial"/>
                <w:szCs w:val="21"/>
                <w:highlight w:val="none"/>
              </w:rPr>
              <w:t>□</w:t>
            </w:r>
            <w:r>
              <w:rPr>
                <w:rFonts w:hint="eastAsia" w:ascii="宋体" w:hAnsi="宋体"/>
                <w:szCs w:val="21"/>
                <w:highlight w:val="none"/>
              </w:rPr>
              <w:t xml:space="preserve">通过 </w:t>
            </w:r>
          </w:p>
          <w:p>
            <w:pPr>
              <w:shd w:val="clear"/>
              <w:rPr>
                <w:rFonts w:ascii="宋体" w:hAnsi="宋体" w:cs="Arial"/>
                <w:szCs w:val="21"/>
                <w:highlight w:val="none"/>
              </w:rPr>
            </w:pPr>
            <w:r>
              <w:rPr>
                <w:rFonts w:hint="eastAsia" w:ascii="宋体" w:hAnsi="宋体" w:cs="Arial"/>
                <w:szCs w:val="21"/>
                <w:highlight w:val="none"/>
              </w:rPr>
              <w:t>□</w:t>
            </w:r>
            <w:r>
              <w:rPr>
                <w:rFonts w:hint="eastAsia" w:ascii="宋体" w:hAnsi="宋体"/>
                <w:szCs w:val="21"/>
                <w:highlight w:val="none"/>
              </w:rPr>
              <w:t>不通过</w:t>
            </w:r>
          </w:p>
        </w:tc>
        <w:tc>
          <w:tcPr>
            <w:tcW w:w="1598" w:type="dxa"/>
            <w:vAlign w:val="center"/>
          </w:tcPr>
          <w:p>
            <w:pPr>
              <w:shd w:val="clear"/>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244" w:hRule="atLeast"/>
        </w:trPr>
        <w:tc>
          <w:tcPr>
            <w:tcW w:w="831" w:type="dxa"/>
            <w:vMerge w:val="continue"/>
            <w:vAlign w:val="center"/>
          </w:tcPr>
          <w:p>
            <w:pPr>
              <w:shd w:val="clear"/>
              <w:adjustRightInd w:val="0"/>
              <w:snapToGrid w:val="0"/>
              <w:rPr>
                <w:rFonts w:ascii="宋体" w:hAnsi="宋体" w:cs="宋体"/>
                <w:szCs w:val="21"/>
                <w:highlight w:val="none"/>
              </w:rPr>
            </w:pPr>
          </w:p>
        </w:tc>
        <w:tc>
          <w:tcPr>
            <w:tcW w:w="5561" w:type="dxa"/>
            <w:vAlign w:val="center"/>
          </w:tcPr>
          <w:p>
            <w:pPr>
              <w:shd w:val="clear"/>
              <w:jc w:val="left"/>
              <w:rPr>
                <w:rFonts w:ascii="宋体" w:hAnsi="宋体" w:cs="宋体"/>
                <w:szCs w:val="21"/>
                <w:highlight w:val="none"/>
              </w:rPr>
            </w:pPr>
            <w:r>
              <w:rPr>
                <w:rFonts w:hint="eastAsia" w:ascii="宋体"/>
                <w:bCs/>
                <w:szCs w:val="20"/>
                <w:highlight w:val="none"/>
              </w:rPr>
              <w:t>本项目不接受联合体投标。</w:t>
            </w:r>
          </w:p>
        </w:tc>
        <w:tc>
          <w:tcPr>
            <w:tcW w:w="1215" w:type="dxa"/>
            <w:vAlign w:val="center"/>
          </w:tcPr>
          <w:p>
            <w:pPr>
              <w:shd w:val="clear"/>
              <w:rPr>
                <w:rFonts w:ascii="宋体" w:hAnsi="宋体"/>
                <w:szCs w:val="21"/>
                <w:highlight w:val="none"/>
              </w:rPr>
            </w:pPr>
            <w:r>
              <w:rPr>
                <w:rFonts w:hint="eastAsia" w:ascii="宋体" w:hAnsi="宋体" w:cs="Arial"/>
                <w:szCs w:val="21"/>
                <w:highlight w:val="none"/>
              </w:rPr>
              <w:t>□</w:t>
            </w:r>
            <w:r>
              <w:rPr>
                <w:rFonts w:hint="eastAsia" w:ascii="宋体" w:hAnsi="宋体"/>
                <w:szCs w:val="21"/>
                <w:highlight w:val="none"/>
              </w:rPr>
              <w:t>通过</w:t>
            </w:r>
          </w:p>
          <w:p>
            <w:pPr>
              <w:shd w:val="clear"/>
              <w:rPr>
                <w:rFonts w:ascii="宋体" w:hAnsi="宋体" w:cs="宋体"/>
                <w:szCs w:val="21"/>
                <w:highlight w:val="none"/>
              </w:rPr>
            </w:pPr>
            <w:r>
              <w:rPr>
                <w:rFonts w:hint="eastAsia" w:ascii="宋体" w:hAnsi="宋体" w:cs="Arial"/>
                <w:szCs w:val="21"/>
                <w:highlight w:val="none"/>
              </w:rPr>
              <w:t>□</w:t>
            </w:r>
            <w:r>
              <w:rPr>
                <w:rFonts w:hint="eastAsia" w:ascii="宋体" w:hAnsi="宋体"/>
                <w:szCs w:val="21"/>
                <w:highlight w:val="none"/>
              </w:rPr>
              <w:t>不通过</w:t>
            </w:r>
          </w:p>
        </w:tc>
        <w:tc>
          <w:tcPr>
            <w:tcW w:w="1598" w:type="dxa"/>
            <w:vAlign w:val="center"/>
          </w:tcPr>
          <w:p>
            <w:pPr>
              <w:shd w:val="clear"/>
              <w:jc w:val="center"/>
              <w:rPr>
                <w:rFonts w:ascii="宋体" w:hAnsi="宋体" w:cs="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593" w:hRule="atLeast"/>
        </w:trPr>
        <w:tc>
          <w:tcPr>
            <w:tcW w:w="831" w:type="dxa"/>
            <w:vMerge w:val="restart"/>
            <w:vAlign w:val="center"/>
          </w:tcPr>
          <w:p>
            <w:pPr>
              <w:pStyle w:val="63"/>
              <w:shd w:val="clear"/>
              <w:adjustRightInd w:val="0"/>
              <w:snapToGrid w:val="0"/>
              <w:spacing w:before="0" w:beforeAutospacing="0" w:after="0" w:afterAutospacing="0"/>
              <w:jc w:val="center"/>
              <w:rPr>
                <w:sz w:val="21"/>
                <w:szCs w:val="21"/>
                <w:highlight w:val="none"/>
              </w:rPr>
            </w:pPr>
            <w:r>
              <w:rPr>
                <w:rFonts w:hint="eastAsia"/>
                <w:b/>
                <w:bCs/>
                <w:sz w:val="21"/>
                <w:szCs w:val="21"/>
                <w:highlight w:val="none"/>
              </w:rPr>
              <w:t>符合性审查</w:t>
            </w:r>
          </w:p>
        </w:tc>
        <w:tc>
          <w:tcPr>
            <w:tcW w:w="5561" w:type="dxa"/>
            <w:vAlign w:val="center"/>
          </w:tcPr>
          <w:p>
            <w:pPr>
              <w:shd w:val="clear"/>
              <w:tabs>
                <w:tab w:val="left" w:pos="612"/>
              </w:tabs>
              <w:spacing w:line="288" w:lineRule="auto"/>
              <w:rPr>
                <w:rFonts w:ascii="宋体" w:hAnsi="宋体" w:cs="宋体"/>
                <w:szCs w:val="21"/>
                <w:highlight w:val="none"/>
              </w:rPr>
            </w:pPr>
            <w:r>
              <w:rPr>
                <w:rFonts w:hint="eastAsia" w:ascii="宋体" w:hAnsi="宋体" w:cs="宋体"/>
                <w:highlight w:val="none"/>
              </w:rPr>
              <w:t>按照招标文件规定要求签署、盖章且投标文件有法定代表人签字或盖章，或签字人有法定代表人有效授权书的。</w:t>
            </w:r>
          </w:p>
        </w:tc>
        <w:tc>
          <w:tcPr>
            <w:tcW w:w="1215" w:type="dxa"/>
            <w:vAlign w:val="center"/>
          </w:tcPr>
          <w:p>
            <w:pPr>
              <w:shd w:val="clear"/>
              <w:adjustRightInd w:val="0"/>
              <w:snapToGrid w:val="0"/>
              <w:rPr>
                <w:rFonts w:ascii="宋体" w:hAnsi="宋体"/>
                <w:szCs w:val="21"/>
                <w:highlight w:val="none"/>
              </w:rPr>
            </w:pPr>
            <w:r>
              <w:rPr>
                <w:rFonts w:hint="eastAsia" w:ascii="宋体" w:hAnsi="宋体" w:cs="Arial"/>
                <w:szCs w:val="21"/>
                <w:highlight w:val="none"/>
              </w:rPr>
              <w:t>□</w:t>
            </w:r>
            <w:r>
              <w:rPr>
                <w:rFonts w:hint="eastAsia" w:ascii="宋体" w:hAnsi="宋体"/>
                <w:szCs w:val="21"/>
                <w:highlight w:val="none"/>
              </w:rPr>
              <w:t xml:space="preserve">通过 </w:t>
            </w:r>
          </w:p>
          <w:p>
            <w:pPr>
              <w:shd w:val="clear"/>
              <w:adjustRightInd w:val="0"/>
              <w:snapToGrid w:val="0"/>
              <w:rPr>
                <w:rFonts w:ascii="宋体" w:hAnsi="宋体" w:cs="Arial"/>
                <w:szCs w:val="21"/>
                <w:highlight w:val="none"/>
              </w:rPr>
            </w:pPr>
            <w:r>
              <w:rPr>
                <w:rFonts w:hint="eastAsia" w:ascii="宋体" w:hAnsi="宋体" w:cs="Arial"/>
                <w:szCs w:val="21"/>
                <w:highlight w:val="none"/>
              </w:rPr>
              <w:t>□</w:t>
            </w:r>
            <w:r>
              <w:rPr>
                <w:rFonts w:hint="eastAsia" w:ascii="宋体" w:hAnsi="宋体"/>
                <w:szCs w:val="21"/>
                <w:highlight w:val="none"/>
              </w:rPr>
              <w:t>不通过</w:t>
            </w:r>
          </w:p>
        </w:tc>
        <w:tc>
          <w:tcPr>
            <w:tcW w:w="1598"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527" w:hRule="atLeast"/>
        </w:trPr>
        <w:tc>
          <w:tcPr>
            <w:tcW w:w="831" w:type="dxa"/>
            <w:vMerge w:val="continue"/>
            <w:vAlign w:val="center"/>
          </w:tcPr>
          <w:p>
            <w:pPr>
              <w:pStyle w:val="63"/>
              <w:shd w:val="clear"/>
              <w:adjustRightInd w:val="0"/>
              <w:snapToGrid w:val="0"/>
              <w:spacing w:before="0" w:beforeAutospacing="0" w:after="0" w:afterAutospacing="0"/>
              <w:jc w:val="center"/>
              <w:rPr>
                <w:b/>
                <w:bCs/>
                <w:sz w:val="21"/>
                <w:szCs w:val="21"/>
                <w:highlight w:val="none"/>
              </w:rPr>
            </w:pPr>
          </w:p>
        </w:tc>
        <w:tc>
          <w:tcPr>
            <w:tcW w:w="5561" w:type="dxa"/>
            <w:vAlign w:val="center"/>
          </w:tcPr>
          <w:p>
            <w:pPr>
              <w:shd w:val="clear"/>
              <w:spacing w:line="288" w:lineRule="auto"/>
              <w:jc w:val="left"/>
              <w:rPr>
                <w:rFonts w:ascii="宋体" w:hAnsi="宋体" w:cs="宋体"/>
                <w:highlight w:val="none"/>
              </w:rPr>
            </w:pPr>
            <w:r>
              <w:rPr>
                <w:rFonts w:hint="eastAsia" w:ascii="宋体" w:hAnsi="宋体" w:cs="宋体"/>
                <w:highlight w:val="none"/>
              </w:rPr>
              <w:t>投标函已提交并符合招标文件要求的。</w:t>
            </w:r>
          </w:p>
        </w:tc>
        <w:tc>
          <w:tcPr>
            <w:tcW w:w="1215" w:type="dxa"/>
            <w:vAlign w:val="center"/>
          </w:tcPr>
          <w:p>
            <w:pPr>
              <w:shd w:val="clear"/>
              <w:adjustRightInd w:val="0"/>
              <w:snapToGrid w:val="0"/>
              <w:rPr>
                <w:rFonts w:ascii="宋体" w:hAnsi="宋体"/>
                <w:szCs w:val="21"/>
                <w:highlight w:val="none"/>
              </w:rPr>
            </w:pPr>
            <w:r>
              <w:rPr>
                <w:rFonts w:hint="eastAsia" w:ascii="宋体" w:hAnsi="宋体" w:cs="Arial"/>
                <w:szCs w:val="21"/>
                <w:highlight w:val="none"/>
              </w:rPr>
              <w:t>□</w:t>
            </w:r>
            <w:r>
              <w:rPr>
                <w:rFonts w:hint="eastAsia" w:ascii="宋体" w:hAnsi="宋体"/>
                <w:szCs w:val="21"/>
                <w:highlight w:val="none"/>
              </w:rPr>
              <w:t xml:space="preserve">通过 </w:t>
            </w:r>
          </w:p>
          <w:p>
            <w:pPr>
              <w:shd w:val="clear"/>
              <w:adjustRightInd w:val="0"/>
              <w:snapToGrid w:val="0"/>
              <w:rPr>
                <w:rFonts w:ascii="宋体" w:hAnsi="宋体" w:cs="Arial"/>
                <w:szCs w:val="21"/>
                <w:highlight w:val="none"/>
              </w:rPr>
            </w:pPr>
            <w:r>
              <w:rPr>
                <w:rFonts w:hint="eastAsia" w:ascii="宋体" w:hAnsi="宋体" w:cs="Arial"/>
                <w:szCs w:val="21"/>
                <w:highlight w:val="none"/>
              </w:rPr>
              <w:t>□</w:t>
            </w:r>
            <w:r>
              <w:rPr>
                <w:rFonts w:hint="eastAsia" w:ascii="宋体" w:hAnsi="宋体"/>
                <w:szCs w:val="21"/>
                <w:highlight w:val="none"/>
              </w:rPr>
              <w:t>不通过</w:t>
            </w:r>
          </w:p>
        </w:tc>
        <w:tc>
          <w:tcPr>
            <w:tcW w:w="1598"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150" w:hRule="atLeast"/>
        </w:trPr>
        <w:tc>
          <w:tcPr>
            <w:tcW w:w="831" w:type="dxa"/>
            <w:vMerge w:val="continue"/>
            <w:vAlign w:val="center"/>
          </w:tcPr>
          <w:p>
            <w:pPr>
              <w:pStyle w:val="63"/>
              <w:shd w:val="clear"/>
              <w:adjustRightInd w:val="0"/>
              <w:snapToGrid w:val="0"/>
              <w:spacing w:before="0" w:beforeAutospacing="0" w:after="0" w:afterAutospacing="0"/>
              <w:jc w:val="center"/>
              <w:rPr>
                <w:sz w:val="21"/>
                <w:szCs w:val="21"/>
                <w:highlight w:val="none"/>
              </w:rPr>
            </w:pPr>
          </w:p>
        </w:tc>
        <w:tc>
          <w:tcPr>
            <w:tcW w:w="5561" w:type="dxa"/>
            <w:vAlign w:val="center"/>
          </w:tcPr>
          <w:p>
            <w:pPr>
              <w:shd w:val="clear"/>
              <w:spacing w:line="288" w:lineRule="auto"/>
              <w:jc w:val="left"/>
              <w:rPr>
                <w:rFonts w:ascii="宋体" w:hAnsi="宋体" w:cs="宋体"/>
                <w:highlight w:val="none"/>
              </w:rPr>
            </w:pPr>
            <w:r>
              <w:rPr>
                <w:rFonts w:hint="eastAsia" w:ascii="宋体" w:hAnsi="宋体" w:cs="宋体"/>
                <w:highlight w:val="none"/>
              </w:rPr>
              <w:t>投标人按招标文件要求缴纳投标保证金的。</w:t>
            </w:r>
          </w:p>
        </w:tc>
        <w:tc>
          <w:tcPr>
            <w:tcW w:w="1215" w:type="dxa"/>
            <w:vAlign w:val="center"/>
          </w:tcPr>
          <w:p>
            <w:pPr>
              <w:shd w:val="clear"/>
              <w:adjustRightInd w:val="0"/>
              <w:snapToGrid w:val="0"/>
              <w:rPr>
                <w:rFonts w:ascii="宋体" w:hAnsi="宋体"/>
                <w:szCs w:val="21"/>
                <w:highlight w:val="none"/>
              </w:rPr>
            </w:pPr>
            <w:r>
              <w:rPr>
                <w:rFonts w:hint="eastAsia" w:ascii="宋体" w:hAnsi="宋体" w:cs="Arial"/>
                <w:szCs w:val="21"/>
                <w:highlight w:val="none"/>
              </w:rPr>
              <w:t>□</w:t>
            </w:r>
            <w:r>
              <w:rPr>
                <w:rFonts w:hint="eastAsia" w:ascii="宋体" w:hAnsi="宋体"/>
                <w:szCs w:val="21"/>
                <w:highlight w:val="none"/>
              </w:rPr>
              <w:t xml:space="preserve">通过 </w:t>
            </w:r>
          </w:p>
          <w:p>
            <w:pPr>
              <w:shd w:val="clear"/>
              <w:adjustRightInd w:val="0"/>
              <w:snapToGrid w:val="0"/>
              <w:rPr>
                <w:rFonts w:ascii="宋体" w:hAnsi="宋体" w:cs="Arial"/>
                <w:szCs w:val="21"/>
                <w:highlight w:val="none"/>
              </w:rPr>
            </w:pPr>
            <w:r>
              <w:rPr>
                <w:rFonts w:hint="eastAsia" w:ascii="宋体" w:hAnsi="宋体" w:cs="Arial"/>
                <w:szCs w:val="21"/>
                <w:highlight w:val="none"/>
              </w:rPr>
              <w:t>□</w:t>
            </w:r>
            <w:r>
              <w:rPr>
                <w:rFonts w:hint="eastAsia" w:ascii="宋体" w:hAnsi="宋体"/>
                <w:szCs w:val="21"/>
                <w:highlight w:val="none"/>
              </w:rPr>
              <w:t>不通过</w:t>
            </w:r>
          </w:p>
        </w:tc>
        <w:tc>
          <w:tcPr>
            <w:tcW w:w="1598"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701" w:hRule="atLeast"/>
        </w:trPr>
        <w:tc>
          <w:tcPr>
            <w:tcW w:w="831" w:type="dxa"/>
            <w:vMerge w:val="continue"/>
            <w:vAlign w:val="center"/>
          </w:tcPr>
          <w:p>
            <w:pPr>
              <w:pStyle w:val="63"/>
              <w:shd w:val="clear"/>
              <w:adjustRightInd w:val="0"/>
              <w:snapToGrid w:val="0"/>
              <w:spacing w:before="0" w:beforeAutospacing="0" w:after="0" w:afterAutospacing="0"/>
              <w:jc w:val="center"/>
              <w:rPr>
                <w:sz w:val="21"/>
                <w:szCs w:val="21"/>
                <w:highlight w:val="none"/>
              </w:rPr>
            </w:pPr>
          </w:p>
        </w:tc>
        <w:tc>
          <w:tcPr>
            <w:tcW w:w="5561" w:type="dxa"/>
            <w:vAlign w:val="center"/>
          </w:tcPr>
          <w:p>
            <w:pPr>
              <w:shd w:val="clear"/>
              <w:spacing w:line="288" w:lineRule="auto"/>
              <w:ind w:left="315" w:hanging="315" w:hangingChars="150"/>
              <w:rPr>
                <w:rFonts w:ascii="宋体" w:hAnsi="宋体"/>
                <w:szCs w:val="21"/>
                <w:highlight w:val="none"/>
              </w:rPr>
            </w:pPr>
            <w:r>
              <w:rPr>
                <w:rFonts w:hint="eastAsia" w:ascii="宋体" w:hAnsi="宋体" w:cs="宋体"/>
                <w:highlight w:val="none"/>
              </w:rPr>
              <w:t>投标报价是固定且唯一的，未超过本项目</w:t>
            </w:r>
            <w:r>
              <w:rPr>
                <w:rFonts w:hint="eastAsia" w:ascii="宋体" w:hAnsi="宋体" w:cs="宋体"/>
                <w:b/>
                <w:bCs/>
                <w:highlight w:val="none"/>
              </w:rPr>
              <w:t>最高限价</w:t>
            </w:r>
            <w:r>
              <w:rPr>
                <w:rFonts w:hint="eastAsia" w:ascii="宋体" w:hAnsi="宋体" w:cs="宋体"/>
                <w:highlight w:val="none"/>
              </w:rPr>
              <w:t>的。</w:t>
            </w:r>
          </w:p>
        </w:tc>
        <w:tc>
          <w:tcPr>
            <w:tcW w:w="1215" w:type="dxa"/>
            <w:vAlign w:val="center"/>
          </w:tcPr>
          <w:p>
            <w:pPr>
              <w:shd w:val="clear"/>
              <w:adjustRightInd w:val="0"/>
              <w:snapToGrid w:val="0"/>
              <w:rPr>
                <w:rFonts w:ascii="宋体" w:hAnsi="宋体"/>
                <w:szCs w:val="21"/>
                <w:highlight w:val="none"/>
              </w:rPr>
            </w:pPr>
            <w:r>
              <w:rPr>
                <w:rFonts w:hint="eastAsia" w:ascii="宋体" w:hAnsi="宋体" w:cs="Arial"/>
                <w:szCs w:val="21"/>
                <w:highlight w:val="none"/>
              </w:rPr>
              <w:t>□</w:t>
            </w:r>
            <w:r>
              <w:rPr>
                <w:rFonts w:hint="eastAsia" w:ascii="宋体" w:hAnsi="宋体"/>
                <w:szCs w:val="21"/>
                <w:highlight w:val="none"/>
              </w:rPr>
              <w:t xml:space="preserve">通过 </w:t>
            </w:r>
          </w:p>
          <w:p>
            <w:pPr>
              <w:shd w:val="clear"/>
              <w:adjustRightInd w:val="0"/>
              <w:snapToGrid w:val="0"/>
              <w:rPr>
                <w:rFonts w:ascii="宋体" w:hAnsi="宋体" w:cs="Arial"/>
                <w:szCs w:val="21"/>
                <w:highlight w:val="none"/>
              </w:rPr>
            </w:pPr>
            <w:r>
              <w:rPr>
                <w:rFonts w:hint="eastAsia" w:ascii="宋体" w:hAnsi="宋体" w:cs="Arial"/>
                <w:szCs w:val="21"/>
                <w:highlight w:val="none"/>
              </w:rPr>
              <w:t>□</w:t>
            </w:r>
            <w:r>
              <w:rPr>
                <w:rFonts w:hint="eastAsia" w:ascii="宋体" w:hAnsi="宋体"/>
                <w:szCs w:val="21"/>
                <w:highlight w:val="none"/>
              </w:rPr>
              <w:t>不通过</w:t>
            </w:r>
          </w:p>
        </w:tc>
        <w:tc>
          <w:tcPr>
            <w:tcW w:w="1598"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173" w:hRule="atLeast"/>
        </w:trPr>
        <w:tc>
          <w:tcPr>
            <w:tcW w:w="831" w:type="dxa"/>
            <w:vMerge w:val="continue"/>
            <w:vAlign w:val="center"/>
          </w:tcPr>
          <w:p>
            <w:pPr>
              <w:pStyle w:val="63"/>
              <w:shd w:val="clear"/>
              <w:adjustRightInd w:val="0"/>
              <w:snapToGrid w:val="0"/>
              <w:spacing w:before="0" w:beforeAutospacing="0" w:after="0" w:afterAutospacing="0"/>
              <w:jc w:val="center"/>
              <w:rPr>
                <w:sz w:val="21"/>
                <w:szCs w:val="21"/>
                <w:highlight w:val="none"/>
              </w:rPr>
            </w:pPr>
          </w:p>
        </w:tc>
        <w:tc>
          <w:tcPr>
            <w:tcW w:w="5561" w:type="dxa"/>
            <w:vAlign w:val="center"/>
          </w:tcPr>
          <w:p>
            <w:pPr>
              <w:shd w:val="clear"/>
              <w:spacing w:line="288" w:lineRule="auto"/>
              <w:rPr>
                <w:rFonts w:ascii="宋体" w:hAnsi="宋体" w:cs="宋体"/>
                <w:highlight w:val="none"/>
              </w:rPr>
            </w:pPr>
            <w:r>
              <w:rPr>
                <w:rFonts w:hint="eastAsia" w:ascii="宋体" w:hAnsi="宋体" w:cs="宋体"/>
                <w:highlight w:val="none"/>
              </w:rPr>
              <w:t>投标文件完全满足招标文件的实质性条款【即标注★号条款（如有）及商务要求】无负偏离的，投标时提供：</w:t>
            </w:r>
            <w:r>
              <w:rPr>
                <w:rFonts w:hint="eastAsia" w:ascii="宋体" w:hAnsi="宋体" w:cs="宋体"/>
                <w:szCs w:val="21"/>
                <w:highlight w:val="none"/>
              </w:rPr>
              <w:t>1）</w:t>
            </w:r>
            <w:r>
              <w:rPr>
                <w:rFonts w:hint="eastAsia" w:ascii="宋体" w:hAnsi="宋体" w:cs="Courier New"/>
                <w:szCs w:val="21"/>
                <w:highlight w:val="none"/>
              </w:rPr>
              <w:t>实质性条款响应一览表；</w:t>
            </w:r>
            <w:r>
              <w:rPr>
                <w:rFonts w:hint="eastAsia" w:ascii="宋体" w:hAnsi="宋体" w:cs="宋体"/>
                <w:szCs w:val="21"/>
                <w:highlight w:val="none"/>
              </w:rPr>
              <w:t>2）</w:t>
            </w:r>
            <w:r>
              <w:rPr>
                <w:rFonts w:hint="eastAsia" w:ascii="宋体" w:hAnsi="宋体" w:cs="Courier New"/>
                <w:szCs w:val="21"/>
                <w:highlight w:val="none"/>
              </w:rPr>
              <w:t>招标文件规定的证明材料。</w:t>
            </w:r>
          </w:p>
        </w:tc>
        <w:tc>
          <w:tcPr>
            <w:tcW w:w="1215" w:type="dxa"/>
            <w:vAlign w:val="center"/>
          </w:tcPr>
          <w:p>
            <w:pPr>
              <w:shd w:val="clear"/>
              <w:adjustRightInd w:val="0"/>
              <w:snapToGrid w:val="0"/>
              <w:rPr>
                <w:rFonts w:ascii="宋体" w:hAnsi="宋体"/>
                <w:szCs w:val="21"/>
                <w:highlight w:val="none"/>
              </w:rPr>
            </w:pPr>
            <w:r>
              <w:rPr>
                <w:rFonts w:hint="eastAsia" w:ascii="宋体" w:hAnsi="宋体" w:cs="Arial"/>
                <w:szCs w:val="21"/>
                <w:highlight w:val="none"/>
              </w:rPr>
              <w:t>□</w:t>
            </w:r>
            <w:r>
              <w:rPr>
                <w:rFonts w:hint="eastAsia" w:ascii="宋体" w:hAnsi="宋体"/>
                <w:szCs w:val="21"/>
                <w:highlight w:val="none"/>
              </w:rPr>
              <w:t xml:space="preserve">通过 </w:t>
            </w:r>
          </w:p>
          <w:p>
            <w:pPr>
              <w:shd w:val="clear"/>
              <w:adjustRightInd w:val="0"/>
              <w:snapToGrid w:val="0"/>
              <w:rPr>
                <w:rFonts w:ascii="宋体" w:hAnsi="宋体" w:cs="Arial"/>
                <w:szCs w:val="21"/>
                <w:highlight w:val="none"/>
              </w:rPr>
            </w:pPr>
            <w:r>
              <w:rPr>
                <w:rFonts w:hint="eastAsia" w:ascii="宋体" w:hAnsi="宋体" w:cs="Arial"/>
                <w:szCs w:val="21"/>
                <w:highlight w:val="none"/>
              </w:rPr>
              <w:t>□</w:t>
            </w:r>
            <w:r>
              <w:rPr>
                <w:rFonts w:hint="eastAsia" w:ascii="宋体" w:hAnsi="宋体"/>
                <w:szCs w:val="21"/>
                <w:highlight w:val="none"/>
              </w:rPr>
              <w:t>不通过</w:t>
            </w:r>
          </w:p>
        </w:tc>
        <w:tc>
          <w:tcPr>
            <w:tcW w:w="1598"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173" w:hRule="atLeast"/>
        </w:trPr>
        <w:tc>
          <w:tcPr>
            <w:tcW w:w="831" w:type="dxa"/>
            <w:vMerge w:val="continue"/>
            <w:vAlign w:val="center"/>
          </w:tcPr>
          <w:p>
            <w:pPr>
              <w:pStyle w:val="63"/>
              <w:shd w:val="clear"/>
              <w:adjustRightInd w:val="0"/>
              <w:snapToGrid w:val="0"/>
              <w:spacing w:before="0" w:beforeAutospacing="0" w:after="0" w:afterAutospacing="0"/>
              <w:jc w:val="center"/>
              <w:rPr>
                <w:sz w:val="21"/>
                <w:szCs w:val="21"/>
                <w:highlight w:val="none"/>
              </w:rPr>
            </w:pPr>
          </w:p>
        </w:tc>
        <w:tc>
          <w:tcPr>
            <w:tcW w:w="5561" w:type="dxa"/>
            <w:vAlign w:val="center"/>
          </w:tcPr>
          <w:p>
            <w:pPr>
              <w:shd w:val="clear"/>
              <w:spacing w:line="288" w:lineRule="auto"/>
              <w:rPr>
                <w:rFonts w:ascii="宋体" w:hAnsi="宋体" w:cs="宋体"/>
                <w:highlight w:val="none"/>
              </w:rPr>
            </w:pPr>
            <w:r>
              <w:rPr>
                <w:rFonts w:hint="eastAsia" w:ascii="宋体" w:hAnsi="宋体"/>
                <w:bCs/>
                <w:highlight w:val="none"/>
              </w:rPr>
              <w:t>评标委员会认为投标人的报价明显低于其他通过符合性审查投标人的报价，有可能影响产品质量或者不能诚信履约的，要求其在评标现场规定的时间内提供书面说明，必要时提交相关证明材料。</w:t>
            </w:r>
          </w:p>
        </w:tc>
        <w:tc>
          <w:tcPr>
            <w:tcW w:w="1215" w:type="dxa"/>
            <w:vAlign w:val="center"/>
          </w:tcPr>
          <w:p>
            <w:pPr>
              <w:shd w:val="clear"/>
              <w:adjustRightInd w:val="0"/>
              <w:snapToGrid w:val="0"/>
              <w:rPr>
                <w:rFonts w:ascii="宋体" w:hAnsi="宋体"/>
                <w:szCs w:val="21"/>
                <w:highlight w:val="none"/>
              </w:rPr>
            </w:pPr>
            <w:r>
              <w:rPr>
                <w:rFonts w:hint="eastAsia" w:ascii="宋体" w:hAnsi="宋体" w:cs="Arial"/>
                <w:szCs w:val="21"/>
                <w:highlight w:val="none"/>
              </w:rPr>
              <w:t>□</w:t>
            </w:r>
            <w:r>
              <w:rPr>
                <w:rFonts w:hint="eastAsia" w:ascii="宋体" w:hAnsi="宋体"/>
                <w:szCs w:val="21"/>
                <w:highlight w:val="none"/>
              </w:rPr>
              <w:t xml:space="preserve">通过 </w:t>
            </w:r>
          </w:p>
          <w:p>
            <w:pPr>
              <w:shd w:val="clear"/>
              <w:adjustRightInd w:val="0"/>
              <w:snapToGrid w:val="0"/>
              <w:rPr>
                <w:rFonts w:ascii="宋体" w:hAnsi="宋体" w:cs="Arial"/>
                <w:szCs w:val="21"/>
                <w:highlight w:val="none"/>
              </w:rPr>
            </w:pPr>
            <w:r>
              <w:rPr>
                <w:rFonts w:hint="eastAsia" w:ascii="宋体" w:hAnsi="宋体" w:cs="Arial"/>
                <w:szCs w:val="21"/>
                <w:highlight w:val="none"/>
              </w:rPr>
              <w:t>□</w:t>
            </w:r>
            <w:r>
              <w:rPr>
                <w:rFonts w:hint="eastAsia" w:ascii="宋体" w:hAnsi="宋体"/>
                <w:szCs w:val="21"/>
                <w:highlight w:val="none"/>
              </w:rPr>
              <w:t>不通过</w:t>
            </w:r>
          </w:p>
        </w:tc>
        <w:tc>
          <w:tcPr>
            <w:tcW w:w="1598"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90" w:hRule="atLeast"/>
        </w:trPr>
        <w:tc>
          <w:tcPr>
            <w:tcW w:w="831" w:type="dxa"/>
            <w:vMerge w:val="continue"/>
            <w:vAlign w:val="center"/>
          </w:tcPr>
          <w:p>
            <w:pPr>
              <w:pStyle w:val="63"/>
              <w:shd w:val="clear"/>
              <w:adjustRightInd w:val="0"/>
              <w:snapToGrid w:val="0"/>
              <w:spacing w:before="0" w:beforeAutospacing="0" w:after="0" w:afterAutospacing="0"/>
              <w:jc w:val="center"/>
              <w:rPr>
                <w:sz w:val="21"/>
                <w:szCs w:val="21"/>
                <w:highlight w:val="none"/>
              </w:rPr>
            </w:pPr>
          </w:p>
        </w:tc>
        <w:tc>
          <w:tcPr>
            <w:tcW w:w="5561" w:type="dxa"/>
            <w:vAlign w:val="center"/>
          </w:tcPr>
          <w:p>
            <w:pPr>
              <w:shd w:val="clear"/>
              <w:spacing w:line="288" w:lineRule="auto"/>
              <w:rPr>
                <w:rFonts w:ascii="宋体" w:hAnsi="宋体" w:cs="宋体"/>
                <w:szCs w:val="21"/>
                <w:highlight w:val="none"/>
              </w:rPr>
            </w:pPr>
            <w:r>
              <w:rPr>
                <w:rFonts w:hint="eastAsia" w:ascii="宋体" w:hAnsi="宋体" w:cs="宋体"/>
                <w:highlight w:val="none"/>
              </w:rPr>
              <w:t>投标文件未含有招标人不能接受的附加条件的。</w:t>
            </w:r>
          </w:p>
        </w:tc>
        <w:tc>
          <w:tcPr>
            <w:tcW w:w="1215" w:type="dxa"/>
            <w:vAlign w:val="center"/>
          </w:tcPr>
          <w:p>
            <w:pPr>
              <w:shd w:val="clear"/>
              <w:adjustRightInd w:val="0"/>
              <w:snapToGrid w:val="0"/>
              <w:rPr>
                <w:rFonts w:ascii="宋体" w:hAnsi="宋体"/>
                <w:szCs w:val="21"/>
                <w:highlight w:val="none"/>
              </w:rPr>
            </w:pPr>
            <w:r>
              <w:rPr>
                <w:rFonts w:hint="eastAsia" w:ascii="宋体" w:hAnsi="宋体" w:cs="Arial"/>
                <w:szCs w:val="21"/>
                <w:highlight w:val="none"/>
              </w:rPr>
              <w:t>□</w:t>
            </w:r>
            <w:r>
              <w:rPr>
                <w:rFonts w:hint="eastAsia" w:ascii="宋体" w:hAnsi="宋体"/>
                <w:szCs w:val="21"/>
                <w:highlight w:val="none"/>
              </w:rPr>
              <w:t xml:space="preserve">通过 </w:t>
            </w:r>
          </w:p>
          <w:p>
            <w:pPr>
              <w:shd w:val="clear"/>
              <w:adjustRightInd w:val="0"/>
              <w:snapToGrid w:val="0"/>
              <w:rPr>
                <w:rFonts w:ascii="宋体" w:hAnsi="宋体" w:cs="Arial"/>
                <w:szCs w:val="21"/>
                <w:highlight w:val="none"/>
              </w:rPr>
            </w:pPr>
            <w:r>
              <w:rPr>
                <w:rFonts w:hint="eastAsia" w:ascii="宋体" w:hAnsi="宋体" w:cs="Arial"/>
                <w:szCs w:val="21"/>
                <w:highlight w:val="none"/>
              </w:rPr>
              <w:t>□</w:t>
            </w:r>
            <w:r>
              <w:rPr>
                <w:rFonts w:hint="eastAsia" w:ascii="宋体" w:hAnsi="宋体"/>
                <w:szCs w:val="21"/>
                <w:highlight w:val="none"/>
              </w:rPr>
              <w:t>不通过</w:t>
            </w:r>
          </w:p>
        </w:tc>
        <w:tc>
          <w:tcPr>
            <w:tcW w:w="1598"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90" w:hRule="atLeast"/>
        </w:trPr>
        <w:tc>
          <w:tcPr>
            <w:tcW w:w="831" w:type="dxa"/>
            <w:vMerge w:val="continue"/>
            <w:vAlign w:val="center"/>
          </w:tcPr>
          <w:p>
            <w:pPr>
              <w:shd w:val="clear"/>
              <w:adjustRightInd w:val="0"/>
              <w:snapToGrid w:val="0"/>
              <w:rPr>
                <w:rFonts w:ascii="宋体" w:hAnsi="宋体" w:cs="宋体"/>
                <w:szCs w:val="21"/>
                <w:highlight w:val="none"/>
              </w:rPr>
            </w:pPr>
          </w:p>
        </w:tc>
        <w:tc>
          <w:tcPr>
            <w:tcW w:w="5561" w:type="dxa"/>
            <w:vAlign w:val="center"/>
          </w:tcPr>
          <w:p>
            <w:pPr>
              <w:shd w:val="clear"/>
              <w:rPr>
                <w:rFonts w:ascii="宋体" w:hAnsi="宋体" w:cs="宋体"/>
                <w:highlight w:val="none"/>
              </w:rPr>
            </w:pPr>
            <w:r>
              <w:rPr>
                <w:rFonts w:hint="eastAsia" w:ascii="宋体" w:hAnsi="宋体" w:cs="宋体"/>
                <w:highlight w:val="none"/>
              </w:rPr>
              <w:t>投标文件没有招标文件中规定的其它无效投标条款的。</w:t>
            </w:r>
          </w:p>
        </w:tc>
        <w:tc>
          <w:tcPr>
            <w:tcW w:w="1215" w:type="dxa"/>
            <w:vAlign w:val="center"/>
          </w:tcPr>
          <w:p>
            <w:pPr>
              <w:shd w:val="clear"/>
              <w:adjustRightInd w:val="0"/>
              <w:snapToGrid w:val="0"/>
              <w:rPr>
                <w:rFonts w:ascii="宋体" w:hAnsi="宋体"/>
                <w:szCs w:val="21"/>
                <w:highlight w:val="none"/>
              </w:rPr>
            </w:pPr>
            <w:r>
              <w:rPr>
                <w:rFonts w:hint="eastAsia" w:ascii="宋体" w:hAnsi="宋体" w:cs="Arial"/>
                <w:szCs w:val="21"/>
                <w:highlight w:val="none"/>
              </w:rPr>
              <w:t>□</w:t>
            </w:r>
            <w:r>
              <w:rPr>
                <w:rFonts w:hint="eastAsia" w:ascii="宋体" w:hAnsi="宋体"/>
                <w:szCs w:val="21"/>
                <w:highlight w:val="none"/>
              </w:rPr>
              <w:t xml:space="preserve">通过 </w:t>
            </w:r>
          </w:p>
          <w:p>
            <w:pPr>
              <w:shd w:val="clear"/>
              <w:adjustRightInd w:val="0"/>
              <w:snapToGrid w:val="0"/>
              <w:rPr>
                <w:rFonts w:ascii="宋体" w:hAnsi="宋体" w:cs="Arial"/>
                <w:szCs w:val="21"/>
                <w:highlight w:val="none"/>
              </w:rPr>
            </w:pPr>
            <w:r>
              <w:rPr>
                <w:rFonts w:hint="eastAsia" w:ascii="宋体" w:hAnsi="宋体" w:cs="Arial"/>
                <w:szCs w:val="21"/>
                <w:highlight w:val="none"/>
              </w:rPr>
              <w:t>□</w:t>
            </w:r>
            <w:r>
              <w:rPr>
                <w:rFonts w:hint="eastAsia" w:ascii="宋体" w:hAnsi="宋体"/>
                <w:szCs w:val="21"/>
                <w:highlight w:val="none"/>
              </w:rPr>
              <w:t>不通过</w:t>
            </w:r>
          </w:p>
        </w:tc>
        <w:tc>
          <w:tcPr>
            <w:tcW w:w="1598"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150" w:type="dxa"/>
            <w:left w:w="150" w:type="dxa"/>
            <w:bottom w:w="150" w:type="dxa"/>
            <w:right w:w="150" w:type="dxa"/>
          </w:tblCellMar>
        </w:tblPrEx>
        <w:trPr>
          <w:trHeight w:val="90" w:hRule="atLeast"/>
        </w:trPr>
        <w:tc>
          <w:tcPr>
            <w:tcW w:w="831" w:type="dxa"/>
            <w:vMerge w:val="continue"/>
            <w:vAlign w:val="center"/>
          </w:tcPr>
          <w:p>
            <w:pPr>
              <w:shd w:val="clear"/>
              <w:adjustRightInd w:val="0"/>
              <w:snapToGrid w:val="0"/>
              <w:rPr>
                <w:rFonts w:ascii="宋体" w:hAnsi="宋体" w:cs="宋体"/>
                <w:szCs w:val="21"/>
                <w:highlight w:val="none"/>
              </w:rPr>
            </w:pPr>
          </w:p>
        </w:tc>
        <w:tc>
          <w:tcPr>
            <w:tcW w:w="5561" w:type="dxa"/>
            <w:vAlign w:val="center"/>
          </w:tcPr>
          <w:p>
            <w:pPr>
              <w:shd w:val="clear"/>
              <w:rPr>
                <w:rFonts w:ascii="宋体" w:hAnsi="宋体" w:cs="宋体"/>
                <w:szCs w:val="21"/>
                <w:highlight w:val="none"/>
              </w:rPr>
            </w:pPr>
            <w:r>
              <w:rPr>
                <w:rFonts w:hint="eastAsia" w:ascii="宋体" w:hAnsi="宋体" w:cs="宋体"/>
                <w:highlight w:val="none"/>
              </w:rPr>
              <w:t>没有违反有关法律、法规、规章要求，被视为投标无效的其他情况。</w:t>
            </w:r>
          </w:p>
        </w:tc>
        <w:tc>
          <w:tcPr>
            <w:tcW w:w="1215" w:type="dxa"/>
            <w:vAlign w:val="center"/>
          </w:tcPr>
          <w:p>
            <w:pPr>
              <w:shd w:val="clear"/>
              <w:adjustRightInd w:val="0"/>
              <w:snapToGrid w:val="0"/>
              <w:rPr>
                <w:rFonts w:ascii="宋体" w:hAnsi="宋体"/>
                <w:szCs w:val="21"/>
                <w:highlight w:val="none"/>
              </w:rPr>
            </w:pPr>
            <w:r>
              <w:rPr>
                <w:rFonts w:hint="eastAsia" w:ascii="宋体" w:hAnsi="宋体" w:cs="Arial"/>
                <w:szCs w:val="21"/>
                <w:highlight w:val="none"/>
              </w:rPr>
              <w:t>□</w:t>
            </w:r>
            <w:r>
              <w:rPr>
                <w:rFonts w:hint="eastAsia" w:ascii="宋体" w:hAnsi="宋体"/>
                <w:szCs w:val="21"/>
                <w:highlight w:val="none"/>
              </w:rPr>
              <w:t xml:space="preserve">通过 </w:t>
            </w:r>
          </w:p>
          <w:p>
            <w:pPr>
              <w:shd w:val="clear"/>
              <w:adjustRightInd w:val="0"/>
              <w:snapToGrid w:val="0"/>
              <w:rPr>
                <w:rFonts w:ascii="宋体" w:hAnsi="宋体" w:cs="宋体"/>
                <w:szCs w:val="21"/>
                <w:highlight w:val="none"/>
              </w:rPr>
            </w:pPr>
            <w:r>
              <w:rPr>
                <w:rFonts w:hint="eastAsia" w:ascii="宋体" w:hAnsi="宋体" w:cs="Arial"/>
                <w:szCs w:val="21"/>
                <w:highlight w:val="none"/>
              </w:rPr>
              <w:t>□</w:t>
            </w:r>
            <w:r>
              <w:rPr>
                <w:rFonts w:hint="eastAsia" w:ascii="宋体" w:hAnsi="宋体"/>
                <w:szCs w:val="21"/>
                <w:highlight w:val="none"/>
              </w:rPr>
              <w:t>不通过</w:t>
            </w:r>
          </w:p>
        </w:tc>
        <w:tc>
          <w:tcPr>
            <w:tcW w:w="1598" w:type="dxa"/>
            <w:vAlign w:val="center"/>
          </w:tcPr>
          <w:p>
            <w:pPr>
              <w:shd w:val="clear"/>
              <w:adjustRightInd w:val="0"/>
              <w:snapToGrid w:val="0"/>
              <w:jc w:val="center"/>
              <w:rPr>
                <w:rFonts w:ascii="宋体" w:hAnsi="宋体" w:cs="宋体"/>
                <w:szCs w:val="21"/>
                <w:highlight w:val="none"/>
              </w:rPr>
            </w:pPr>
            <w:r>
              <w:rPr>
                <w:rFonts w:hint="eastAsia" w:ascii="宋体" w:hAnsi="宋体"/>
                <w:szCs w:val="21"/>
                <w:highlight w:val="none"/>
              </w:rPr>
              <w:t>第（ ）页</w:t>
            </w:r>
          </w:p>
        </w:tc>
      </w:tr>
    </w:tbl>
    <w:p>
      <w:pPr>
        <w:shd w:val="clear"/>
        <w:rPr>
          <w:rFonts w:ascii="宋体" w:hAnsi="宋体"/>
          <w:bCs/>
          <w:szCs w:val="21"/>
          <w:highlight w:val="none"/>
          <w:lang w:eastAsia="zh-TW"/>
        </w:rPr>
      </w:pPr>
      <w:r>
        <w:rPr>
          <w:rFonts w:hint="eastAsia" w:ascii="宋体" w:hAnsi="宋体"/>
          <w:bCs/>
          <w:szCs w:val="21"/>
          <w:highlight w:val="none"/>
          <w:lang w:eastAsia="zh-TW"/>
        </w:rPr>
        <w:t xml:space="preserve"> </w:t>
      </w:r>
    </w:p>
    <w:p>
      <w:pPr>
        <w:shd w:val="clear"/>
        <w:rPr>
          <w:rFonts w:ascii="宋体" w:hAnsi="宋体" w:cs="宋体"/>
          <w:bCs/>
          <w:szCs w:val="21"/>
          <w:highlight w:val="none"/>
        </w:rPr>
      </w:pPr>
      <w:r>
        <w:rPr>
          <w:rFonts w:hint="eastAsia" w:ascii="宋体" w:hAnsi="宋体" w:cs="宋体"/>
          <w:bCs/>
          <w:szCs w:val="21"/>
          <w:highlight w:val="none"/>
        </w:rPr>
        <w:br w:type="page"/>
      </w:r>
    </w:p>
    <w:p>
      <w:pPr>
        <w:numPr>
          <w:ilvl w:val="0"/>
          <w:numId w:val="141"/>
        </w:numPr>
        <w:shd w:val="clear"/>
        <w:adjustRightInd w:val="0"/>
        <w:snapToGrid w:val="0"/>
        <w:rPr>
          <w:rFonts w:ascii="黑体" w:hAnsi="黑体" w:eastAsia="黑体" w:cs="黑体"/>
          <w:b/>
          <w:sz w:val="24"/>
          <w:highlight w:val="none"/>
        </w:rPr>
      </w:pPr>
      <w:r>
        <w:rPr>
          <w:rFonts w:hint="eastAsia" w:ascii="黑体" w:hAnsi="黑体" w:eastAsia="黑体" w:cs="黑体"/>
          <w:b/>
          <w:sz w:val="24"/>
          <w:highlight w:val="none"/>
        </w:rPr>
        <w:t xml:space="preserve"> 技术评审自查表</w:t>
      </w:r>
    </w:p>
    <w:p>
      <w:pPr>
        <w:widowControl/>
        <w:shd w:val="clear"/>
        <w:wordWrap w:val="0"/>
        <w:jc w:val="left"/>
        <w:rPr>
          <w:rFonts w:ascii="黑体" w:hAnsi="黑体" w:eastAsia="黑体" w:cs="黑体"/>
          <w:b/>
          <w:sz w:val="24"/>
          <w:highlight w:val="none"/>
        </w:rPr>
      </w:pPr>
      <w:r>
        <w:rPr>
          <w:rFonts w:hint="eastAsia" w:ascii="宋体" w:hAnsi="宋体"/>
          <w:highlight w:val="none"/>
        </w:rPr>
        <w:t>投标人名称：                                                 项目编号：BDGZ2023024</w:t>
      </w:r>
      <w:r>
        <w:rPr>
          <w:rFonts w:ascii="ˎ̥" w:hAnsi="ˎ̥" w:cs="宋体"/>
          <w:kern w:val="0"/>
          <w:sz w:val="18"/>
          <w:szCs w:val="18"/>
          <w:highlight w:val="none"/>
        </w:rPr>
        <w:t> </w:t>
      </w:r>
    </w:p>
    <w:tbl>
      <w:tblPr>
        <w:tblStyle w:val="22"/>
        <w:tblW w:w="92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989"/>
        <w:gridCol w:w="4371"/>
        <w:gridCol w:w="21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46" w:type="dxa"/>
            <w:vAlign w:val="center"/>
          </w:tcPr>
          <w:p>
            <w:pPr>
              <w:shd w:val="clear"/>
              <w:adjustRightInd w:val="0"/>
              <w:snapToGrid w:val="0"/>
              <w:jc w:val="center"/>
              <w:rPr>
                <w:rFonts w:ascii="宋体" w:hAnsi="宋体"/>
                <w:b/>
                <w:szCs w:val="21"/>
                <w:highlight w:val="none"/>
              </w:rPr>
            </w:pPr>
            <w:r>
              <w:rPr>
                <w:rFonts w:hint="eastAsia" w:ascii="宋体" w:hAnsi="宋体"/>
                <w:b/>
                <w:szCs w:val="21"/>
                <w:highlight w:val="none"/>
              </w:rPr>
              <w:t>序号</w:t>
            </w:r>
          </w:p>
        </w:tc>
        <w:tc>
          <w:tcPr>
            <w:tcW w:w="1989" w:type="dxa"/>
            <w:vAlign w:val="center"/>
          </w:tcPr>
          <w:p>
            <w:pPr>
              <w:shd w:val="clear"/>
              <w:adjustRightInd w:val="0"/>
              <w:snapToGrid w:val="0"/>
              <w:jc w:val="center"/>
              <w:rPr>
                <w:rFonts w:ascii="宋体" w:hAnsi="宋体"/>
                <w:b/>
                <w:szCs w:val="21"/>
                <w:highlight w:val="none"/>
              </w:rPr>
            </w:pPr>
            <w:r>
              <w:rPr>
                <w:rFonts w:hint="eastAsia" w:ascii="宋体" w:hAnsi="宋体"/>
                <w:b/>
                <w:szCs w:val="21"/>
                <w:highlight w:val="none"/>
              </w:rPr>
              <w:t>评审分项</w:t>
            </w:r>
          </w:p>
        </w:tc>
        <w:tc>
          <w:tcPr>
            <w:tcW w:w="4371" w:type="dxa"/>
            <w:vAlign w:val="center"/>
          </w:tcPr>
          <w:p>
            <w:pPr>
              <w:shd w:val="clear"/>
              <w:adjustRightInd w:val="0"/>
              <w:snapToGrid w:val="0"/>
              <w:jc w:val="center"/>
              <w:rPr>
                <w:rFonts w:ascii="宋体" w:hAnsi="宋体"/>
                <w:b/>
                <w:szCs w:val="21"/>
                <w:highlight w:val="none"/>
              </w:rPr>
            </w:pPr>
            <w:r>
              <w:rPr>
                <w:rFonts w:hint="eastAsia" w:ascii="宋体" w:hAnsi="宋体"/>
                <w:b/>
                <w:szCs w:val="21"/>
                <w:highlight w:val="none"/>
              </w:rPr>
              <w:t>内容</w:t>
            </w:r>
          </w:p>
        </w:tc>
        <w:tc>
          <w:tcPr>
            <w:tcW w:w="2182" w:type="dxa"/>
            <w:vAlign w:val="center"/>
          </w:tcPr>
          <w:p>
            <w:pPr>
              <w:shd w:val="clear"/>
              <w:adjustRightInd w:val="0"/>
              <w:snapToGrid w:val="0"/>
              <w:jc w:val="center"/>
              <w:rPr>
                <w:rFonts w:ascii="宋体" w:hAnsi="宋体"/>
                <w:b/>
                <w:szCs w:val="21"/>
                <w:highlight w:val="none"/>
              </w:rPr>
            </w:pPr>
            <w:r>
              <w:rPr>
                <w:rFonts w:hint="eastAsia" w:ascii="宋体" w:hAnsi="宋体"/>
                <w:b/>
                <w:szCs w:val="21"/>
                <w:highlight w:val="none"/>
              </w:rPr>
              <w:t>证明文件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46" w:type="dxa"/>
            <w:vAlign w:val="center"/>
          </w:tcPr>
          <w:p>
            <w:pPr>
              <w:numPr>
                <w:ilvl w:val="0"/>
                <w:numId w:val="142"/>
              </w:numPr>
              <w:shd w:val="clear"/>
              <w:adjustRightInd w:val="0"/>
              <w:snapToGrid w:val="0"/>
              <w:rPr>
                <w:rFonts w:ascii="宋体" w:hAnsi="宋体"/>
                <w:szCs w:val="21"/>
                <w:highlight w:val="none"/>
              </w:rPr>
            </w:pPr>
          </w:p>
        </w:tc>
        <w:tc>
          <w:tcPr>
            <w:tcW w:w="1989" w:type="dxa"/>
            <w:vAlign w:val="center"/>
          </w:tcPr>
          <w:p>
            <w:pPr>
              <w:shd w:val="clear"/>
              <w:snapToGrid w:val="0"/>
              <w:jc w:val="center"/>
              <w:rPr>
                <w:rFonts w:ascii="宋体" w:hAnsi="宋体" w:cs="Arial"/>
                <w:szCs w:val="21"/>
                <w:highlight w:val="none"/>
              </w:rPr>
            </w:pPr>
          </w:p>
        </w:tc>
        <w:tc>
          <w:tcPr>
            <w:tcW w:w="4371" w:type="dxa"/>
            <w:vAlign w:val="center"/>
          </w:tcPr>
          <w:p>
            <w:pPr>
              <w:shd w:val="clear"/>
              <w:adjustRightInd w:val="0"/>
              <w:snapToGrid w:val="0"/>
              <w:jc w:val="left"/>
              <w:rPr>
                <w:rFonts w:ascii="宋体" w:hAnsi="宋体" w:cs="Arial"/>
                <w:szCs w:val="21"/>
                <w:highlight w:val="none"/>
              </w:rPr>
            </w:pPr>
          </w:p>
        </w:tc>
        <w:tc>
          <w:tcPr>
            <w:tcW w:w="2182"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46" w:type="dxa"/>
            <w:vAlign w:val="center"/>
          </w:tcPr>
          <w:p>
            <w:pPr>
              <w:numPr>
                <w:ilvl w:val="0"/>
                <w:numId w:val="142"/>
              </w:numPr>
              <w:shd w:val="clear"/>
              <w:adjustRightInd w:val="0"/>
              <w:snapToGrid w:val="0"/>
              <w:rPr>
                <w:rFonts w:ascii="宋体" w:hAnsi="宋体"/>
                <w:szCs w:val="21"/>
                <w:highlight w:val="none"/>
              </w:rPr>
            </w:pPr>
          </w:p>
        </w:tc>
        <w:tc>
          <w:tcPr>
            <w:tcW w:w="1989" w:type="dxa"/>
            <w:vAlign w:val="center"/>
          </w:tcPr>
          <w:p>
            <w:pPr>
              <w:shd w:val="clear"/>
              <w:snapToGrid w:val="0"/>
              <w:jc w:val="center"/>
              <w:rPr>
                <w:rFonts w:ascii="宋体" w:hAnsi="宋体"/>
                <w:szCs w:val="21"/>
                <w:highlight w:val="none"/>
              </w:rPr>
            </w:pPr>
          </w:p>
        </w:tc>
        <w:tc>
          <w:tcPr>
            <w:tcW w:w="4371" w:type="dxa"/>
            <w:vAlign w:val="center"/>
          </w:tcPr>
          <w:p>
            <w:pPr>
              <w:shd w:val="clear"/>
              <w:adjustRightInd w:val="0"/>
              <w:snapToGrid w:val="0"/>
              <w:jc w:val="left"/>
              <w:rPr>
                <w:rFonts w:ascii="宋体" w:hAnsi="宋体"/>
                <w:szCs w:val="21"/>
                <w:highlight w:val="none"/>
              </w:rPr>
            </w:pPr>
          </w:p>
        </w:tc>
        <w:tc>
          <w:tcPr>
            <w:tcW w:w="2182"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46" w:type="dxa"/>
            <w:vAlign w:val="center"/>
          </w:tcPr>
          <w:p>
            <w:pPr>
              <w:numPr>
                <w:ilvl w:val="0"/>
                <w:numId w:val="142"/>
              </w:numPr>
              <w:shd w:val="clear"/>
              <w:adjustRightInd w:val="0"/>
              <w:snapToGrid w:val="0"/>
              <w:rPr>
                <w:rFonts w:ascii="宋体" w:hAnsi="宋体"/>
                <w:szCs w:val="21"/>
                <w:highlight w:val="none"/>
              </w:rPr>
            </w:pPr>
          </w:p>
        </w:tc>
        <w:tc>
          <w:tcPr>
            <w:tcW w:w="1989" w:type="dxa"/>
            <w:vAlign w:val="center"/>
          </w:tcPr>
          <w:p>
            <w:pPr>
              <w:shd w:val="clear"/>
              <w:adjustRightInd w:val="0"/>
              <w:snapToGrid w:val="0"/>
              <w:jc w:val="center"/>
              <w:rPr>
                <w:rFonts w:ascii="宋体" w:hAnsi="宋体"/>
                <w:szCs w:val="21"/>
                <w:highlight w:val="none"/>
              </w:rPr>
            </w:pPr>
          </w:p>
        </w:tc>
        <w:tc>
          <w:tcPr>
            <w:tcW w:w="4371" w:type="dxa"/>
            <w:vAlign w:val="center"/>
          </w:tcPr>
          <w:p>
            <w:pPr>
              <w:shd w:val="clear"/>
              <w:adjustRightInd w:val="0"/>
              <w:snapToGrid w:val="0"/>
              <w:jc w:val="left"/>
              <w:rPr>
                <w:rFonts w:ascii="宋体" w:hAnsi="宋体"/>
                <w:szCs w:val="21"/>
                <w:highlight w:val="none"/>
              </w:rPr>
            </w:pPr>
          </w:p>
        </w:tc>
        <w:tc>
          <w:tcPr>
            <w:tcW w:w="2182"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bl>
    <w:p>
      <w:pPr>
        <w:shd w:val="clear"/>
        <w:adjustRightInd w:val="0"/>
        <w:snapToGrid w:val="0"/>
        <w:spacing w:line="360" w:lineRule="auto"/>
        <w:rPr>
          <w:rFonts w:ascii="宋体" w:hAnsi="宋体"/>
          <w:szCs w:val="21"/>
          <w:highlight w:val="none"/>
        </w:rPr>
      </w:pPr>
      <w:r>
        <w:rPr>
          <w:rFonts w:hint="eastAsia" w:ascii="宋体" w:hAnsi="宋体"/>
          <w:szCs w:val="21"/>
          <w:highlight w:val="none"/>
        </w:rPr>
        <w:t>备注：根据《技术部分评分表》的填写。</w:t>
      </w:r>
    </w:p>
    <w:p>
      <w:pPr>
        <w:shd w:val="clear"/>
        <w:adjustRightInd w:val="0"/>
        <w:snapToGrid w:val="0"/>
        <w:spacing w:line="360" w:lineRule="auto"/>
        <w:rPr>
          <w:rFonts w:ascii="宋体" w:hAnsi="宋体"/>
          <w:sz w:val="15"/>
          <w:szCs w:val="15"/>
          <w:highlight w:val="none"/>
        </w:rPr>
      </w:pPr>
    </w:p>
    <w:p>
      <w:pPr>
        <w:numPr>
          <w:ilvl w:val="0"/>
          <w:numId w:val="141"/>
        </w:numPr>
        <w:shd w:val="clear"/>
        <w:adjustRightInd w:val="0"/>
        <w:snapToGrid w:val="0"/>
        <w:rPr>
          <w:rFonts w:ascii="黑体" w:hAnsi="黑体" w:eastAsia="黑体" w:cs="黑体"/>
          <w:b/>
          <w:szCs w:val="21"/>
          <w:highlight w:val="none"/>
        </w:rPr>
      </w:pPr>
      <w:r>
        <w:rPr>
          <w:rFonts w:hint="eastAsia" w:ascii="黑体" w:hAnsi="黑体" w:eastAsia="黑体" w:cs="黑体"/>
          <w:b/>
          <w:sz w:val="24"/>
          <w:highlight w:val="none"/>
        </w:rPr>
        <w:t>商务评审自查表</w:t>
      </w:r>
    </w:p>
    <w:p>
      <w:pPr>
        <w:widowControl/>
        <w:shd w:val="clear"/>
        <w:wordWrap w:val="0"/>
        <w:jc w:val="left"/>
        <w:rPr>
          <w:rFonts w:ascii="黑体" w:hAnsi="黑体" w:eastAsia="黑体" w:cs="黑体"/>
          <w:b/>
          <w:szCs w:val="21"/>
          <w:highlight w:val="none"/>
        </w:rPr>
      </w:pPr>
      <w:r>
        <w:rPr>
          <w:rFonts w:hint="eastAsia" w:ascii="宋体" w:hAnsi="宋体"/>
          <w:highlight w:val="none"/>
        </w:rPr>
        <w:t>投标人名称：                                                 项目编号：BDGZ2023024</w:t>
      </w:r>
      <w:r>
        <w:rPr>
          <w:rFonts w:ascii="ˎ̥" w:hAnsi="ˎ̥" w:cs="宋体"/>
          <w:kern w:val="0"/>
          <w:sz w:val="18"/>
          <w:szCs w:val="18"/>
          <w:highlight w:val="none"/>
        </w:rPr>
        <w:t>  </w:t>
      </w:r>
    </w:p>
    <w:tbl>
      <w:tblPr>
        <w:tblStyle w:val="22"/>
        <w:tblW w:w="92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989"/>
        <w:gridCol w:w="4371"/>
        <w:gridCol w:w="21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46" w:type="dxa"/>
            <w:vAlign w:val="center"/>
          </w:tcPr>
          <w:p>
            <w:pPr>
              <w:shd w:val="clear"/>
              <w:adjustRightInd w:val="0"/>
              <w:snapToGrid w:val="0"/>
              <w:jc w:val="center"/>
              <w:rPr>
                <w:rFonts w:ascii="宋体" w:hAnsi="宋体"/>
                <w:b/>
                <w:szCs w:val="21"/>
                <w:highlight w:val="none"/>
              </w:rPr>
            </w:pPr>
            <w:r>
              <w:rPr>
                <w:rFonts w:hint="eastAsia" w:ascii="宋体" w:hAnsi="宋体"/>
                <w:b/>
                <w:szCs w:val="21"/>
                <w:highlight w:val="none"/>
              </w:rPr>
              <w:t>序号</w:t>
            </w:r>
          </w:p>
        </w:tc>
        <w:tc>
          <w:tcPr>
            <w:tcW w:w="1989" w:type="dxa"/>
            <w:vAlign w:val="center"/>
          </w:tcPr>
          <w:p>
            <w:pPr>
              <w:shd w:val="clear"/>
              <w:adjustRightInd w:val="0"/>
              <w:snapToGrid w:val="0"/>
              <w:jc w:val="center"/>
              <w:rPr>
                <w:rFonts w:ascii="宋体" w:hAnsi="宋体"/>
                <w:b/>
                <w:szCs w:val="21"/>
                <w:highlight w:val="none"/>
              </w:rPr>
            </w:pPr>
            <w:r>
              <w:rPr>
                <w:rFonts w:hint="eastAsia" w:ascii="宋体" w:hAnsi="宋体"/>
                <w:b/>
                <w:szCs w:val="21"/>
                <w:highlight w:val="none"/>
              </w:rPr>
              <w:t>评审分项</w:t>
            </w:r>
          </w:p>
        </w:tc>
        <w:tc>
          <w:tcPr>
            <w:tcW w:w="4371" w:type="dxa"/>
            <w:vAlign w:val="center"/>
          </w:tcPr>
          <w:p>
            <w:pPr>
              <w:shd w:val="clear"/>
              <w:adjustRightInd w:val="0"/>
              <w:snapToGrid w:val="0"/>
              <w:jc w:val="center"/>
              <w:rPr>
                <w:rFonts w:ascii="宋体" w:hAnsi="宋体"/>
                <w:b/>
                <w:szCs w:val="21"/>
                <w:highlight w:val="none"/>
              </w:rPr>
            </w:pPr>
            <w:r>
              <w:rPr>
                <w:rFonts w:hint="eastAsia" w:ascii="宋体" w:hAnsi="宋体"/>
                <w:b/>
                <w:szCs w:val="21"/>
                <w:highlight w:val="none"/>
              </w:rPr>
              <w:t>内容</w:t>
            </w:r>
          </w:p>
        </w:tc>
        <w:tc>
          <w:tcPr>
            <w:tcW w:w="2182" w:type="dxa"/>
            <w:vAlign w:val="center"/>
          </w:tcPr>
          <w:p>
            <w:pPr>
              <w:shd w:val="clear"/>
              <w:adjustRightInd w:val="0"/>
              <w:snapToGrid w:val="0"/>
              <w:jc w:val="center"/>
              <w:rPr>
                <w:rFonts w:ascii="宋体" w:hAnsi="宋体"/>
                <w:b/>
                <w:szCs w:val="21"/>
                <w:highlight w:val="none"/>
              </w:rPr>
            </w:pPr>
            <w:r>
              <w:rPr>
                <w:rFonts w:hint="eastAsia" w:ascii="宋体" w:hAnsi="宋体"/>
                <w:b/>
                <w:szCs w:val="21"/>
                <w:highlight w:val="none"/>
              </w:rPr>
              <w:t>证明文件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46" w:type="dxa"/>
            <w:vAlign w:val="center"/>
          </w:tcPr>
          <w:p>
            <w:pPr>
              <w:numPr>
                <w:ilvl w:val="0"/>
                <w:numId w:val="143"/>
              </w:numPr>
              <w:shd w:val="clear"/>
              <w:adjustRightInd w:val="0"/>
              <w:snapToGrid w:val="0"/>
              <w:rPr>
                <w:rFonts w:ascii="宋体" w:hAnsi="宋体"/>
                <w:szCs w:val="21"/>
                <w:highlight w:val="none"/>
              </w:rPr>
            </w:pPr>
          </w:p>
        </w:tc>
        <w:tc>
          <w:tcPr>
            <w:tcW w:w="1989" w:type="dxa"/>
            <w:vAlign w:val="center"/>
          </w:tcPr>
          <w:p>
            <w:pPr>
              <w:shd w:val="clear"/>
              <w:snapToGrid w:val="0"/>
              <w:jc w:val="center"/>
              <w:rPr>
                <w:rFonts w:ascii="宋体" w:hAnsi="宋体" w:cs="Arial"/>
                <w:szCs w:val="21"/>
                <w:highlight w:val="none"/>
              </w:rPr>
            </w:pPr>
          </w:p>
        </w:tc>
        <w:tc>
          <w:tcPr>
            <w:tcW w:w="4371" w:type="dxa"/>
            <w:vAlign w:val="center"/>
          </w:tcPr>
          <w:p>
            <w:pPr>
              <w:shd w:val="clear"/>
              <w:adjustRightInd w:val="0"/>
              <w:snapToGrid w:val="0"/>
              <w:jc w:val="left"/>
              <w:rPr>
                <w:rFonts w:ascii="宋体" w:hAnsi="宋体" w:cs="Arial"/>
                <w:szCs w:val="21"/>
                <w:highlight w:val="none"/>
              </w:rPr>
            </w:pPr>
          </w:p>
        </w:tc>
        <w:tc>
          <w:tcPr>
            <w:tcW w:w="2182"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46" w:type="dxa"/>
            <w:vAlign w:val="center"/>
          </w:tcPr>
          <w:p>
            <w:pPr>
              <w:numPr>
                <w:ilvl w:val="0"/>
                <w:numId w:val="143"/>
              </w:numPr>
              <w:shd w:val="clear"/>
              <w:adjustRightInd w:val="0"/>
              <w:snapToGrid w:val="0"/>
              <w:rPr>
                <w:rFonts w:ascii="宋体" w:hAnsi="宋体"/>
                <w:szCs w:val="21"/>
                <w:highlight w:val="none"/>
              </w:rPr>
            </w:pPr>
          </w:p>
        </w:tc>
        <w:tc>
          <w:tcPr>
            <w:tcW w:w="1989" w:type="dxa"/>
            <w:vAlign w:val="center"/>
          </w:tcPr>
          <w:p>
            <w:pPr>
              <w:shd w:val="clear"/>
              <w:snapToGrid w:val="0"/>
              <w:jc w:val="center"/>
              <w:rPr>
                <w:rFonts w:ascii="宋体" w:hAnsi="宋体"/>
                <w:color w:val="000000"/>
                <w:szCs w:val="21"/>
                <w:highlight w:val="none"/>
              </w:rPr>
            </w:pPr>
          </w:p>
        </w:tc>
        <w:tc>
          <w:tcPr>
            <w:tcW w:w="4371" w:type="dxa"/>
            <w:vAlign w:val="center"/>
          </w:tcPr>
          <w:p>
            <w:pPr>
              <w:shd w:val="clear"/>
              <w:adjustRightInd w:val="0"/>
              <w:snapToGrid w:val="0"/>
              <w:jc w:val="left"/>
              <w:rPr>
                <w:rFonts w:ascii="宋体" w:hAnsi="宋体"/>
                <w:szCs w:val="21"/>
                <w:highlight w:val="none"/>
              </w:rPr>
            </w:pPr>
          </w:p>
        </w:tc>
        <w:tc>
          <w:tcPr>
            <w:tcW w:w="2182"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46" w:type="dxa"/>
            <w:vAlign w:val="center"/>
          </w:tcPr>
          <w:p>
            <w:pPr>
              <w:numPr>
                <w:ilvl w:val="0"/>
                <w:numId w:val="143"/>
              </w:numPr>
              <w:shd w:val="clear"/>
              <w:adjustRightInd w:val="0"/>
              <w:snapToGrid w:val="0"/>
              <w:rPr>
                <w:rFonts w:ascii="宋体" w:hAnsi="宋体"/>
                <w:szCs w:val="21"/>
                <w:highlight w:val="none"/>
              </w:rPr>
            </w:pPr>
          </w:p>
        </w:tc>
        <w:tc>
          <w:tcPr>
            <w:tcW w:w="1989" w:type="dxa"/>
            <w:vAlign w:val="center"/>
          </w:tcPr>
          <w:p>
            <w:pPr>
              <w:shd w:val="clear"/>
              <w:adjustRightInd w:val="0"/>
              <w:snapToGrid w:val="0"/>
              <w:jc w:val="center"/>
              <w:rPr>
                <w:rFonts w:ascii="宋体" w:hAnsi="宋体"/>
                <w:szCs w:val="21"/>
                <w:highlight w:val="none"/>
              </w:rPr>
            </w:pPr>
          </w:p>
        </w:tc>
        <w:tc>
          <w:tcPr>
            <w:tcW w:w="4371" w:type="dxa"/>
            <w:vAlign w:val="center"/>
          </w:tcPr>
          <w:p>
            <w:pPr>
              <w:shd w:val="clear"/>
              <w:adjustRightInd w:val="0"/>
              <w:snapToGrid w:val="0"/>
              <w:jc w:val="left"/>
              <w:rPr>
                <w:rFonts w:ascii="宋体" w:hAnsi="宋体"/>
                <w:szCs w:val="21"/>
                <w:highlight w:val="none"/>
              </w:rPr>
            </w:pPr>
          </w:p>
        </w:tc>
        <w:tc>
          <w:tcPr>
            <w:tcW w:w="2182"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bl>
    <w:p>
      <w:pPr>
        <w:shd w:val="clear"/>
        <w:adjustRightInd w:val="0"/>
        <w:snapToGrid w:val="0"/>
        <w:spacing w:line="360" w:lineRule="auto"/>
        <w:rPr>
          <w:rFonts w:ascii="宋体" w:hAnsi="宋体"/>
          <w:szCs w:val="21"/>
          <w:highlight w:val="none"/>
        </w:rPr>
      </w:pPr>
      <w:r>
        <w:rPr>
          <w:rFonts w:hint="eastAsia" w:ascii="宋体" w:hAnsi="宋体"/>
          <w:szCs w:val="21"/>
          <w:highlight w:val="none"/>
        </w:rPr>
        <w:t xml:space="preserve">备注：根据《商务部分评分表》的填写。  </w:t>
      </w:r>
    </w:p>
    <w:p>
      <w:pPr>
        <w:shd w:val="clear"/>
        <w:adjustRightInd w:val="0"/>
        <w:snapToGrid w:val="0"/>
        <w:spacing w:line="360" w:lineRule="auto"/>
        <w:rPr>
          <w:rFonts w:ascii="宋体" w:hAnsi="宋体"/>
          <w:sz w:val="15"/>
          <w:szCs w:val="15"/>
          <w:highlight w:val="none"/>
        </w:rPr>
      </w:pPr>
    </w:p>
    <w:p>
      <w:pPr>
        <w:numPr>
          <w:ilvl w:val="0"/>
          <w:numId w:val="141"/>
        </w:numPr>
        <w:shd w:val="clear"/>
        <w:adjustRightInd w:val="0"/>
        <w:snapToGrid w:val="0"/>
        <w:rPr>
          <w:rFonts w:ascii="黑体" w:hAnsi="黑体" w:eastAsia="黑体" w:cs="黑体"/>
          <w:b/>
          <w:sz w:val="24"/>
          <w:highlight w:val="none"/>
        </w:rPr>
      </w:pPr>
      <w:r>
        <w:rPr>
          <w:rFonts w:hint="eastAsia" w:ascii="黑体" w:hAnsi="黑体" w:eastAsia="黑体" w:cs="黑体"/>
          <w:b/>
          <w:sz w:val="24"/>
          <w:highlight w:val="none"/>
        </w:rPr>
        <w:t>价格评审自查表</w:t>
      </w:r>
    </w:p>
    <w:p>
      <w:pPr>
        <w:widowControl/>
        <w:shd w:val="clear"/>
        <w:wordWrap w:val="0"/>
        <w:jc w:val="left"/>
        <w:rPr>
          <w:rFonts w:ascii="黑体" w:hAnsi="黑体" w:eastAsia="黑体" w:cs="黑体"/>
          <w:b/>
          <w:sz w:val="24"/>
          <w:highlight w:val="none"/>
        </w:rPr>
      </w:pPr>
      <w:r>
        <w:rPr>
          <w:rFonts w:hint="eastAsia" w:ascii="宋体" w:hAnsi="宋体"/>
          <w:highlight w:val="none"/>
        </w:rPr>
        <w:t>投标人名称：                                                 项目编号：BDGZ2023024</w:t>
      </w:r>
      <w:r>
        <w:rPr>
          <w:rFonts w:ascii="ˎ̥" w:hAnsi="ˎ̥" w:cs="宋体"/>
          <w:kern w:val="0"/>
          <w:sz w:val="18"/>
          <w:szCs w:val="18"/>
          <w:highlight w:val="none"/>
        </w:rPr>
        <w:t> </w:t>
      </w:r>
    </w:p>
    <w:tbl>
      <w:tblPr>
        <w:tblStyle w:val="22"/>
        <w:tblW w:w="92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6"/>
        <w:gridCol w:w="5783"/>
        <w:gridCol w:w="27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46" w:type="dxa"/>
            <w:vAlign w:val="center"/>
          </w:tcPr>
          <w:p>
            <w:pPr>
              <w:shd w:val="clear"/>
              <w:adjustRightInd w:val="0"/>
              <w:snapToGrid w:val="0"/>
              <w:jc w:val="center"/>
              <w:rPr>
                <w:rFonts w:ascii="宋体" w:hAnsi="宋体"/>
                <w:b/>
                <w:szCs w:val="21"/>
                <w:highlight w:val="none"/>
              </w:rPr>
            </w:pPr>
            <w:r>
              <w:rPr>
                <w:rFonts w:hint="eastAsia" w:ascii="宋体" w:hAnsi="宋体"/>
                <w:b/>
                <w:szCs w:val="21"/>
                <w:highlight w:val="none"/>
              </w:rPr>
              <w:t>序号</w:t>
            </w:r>
          </w:p>
        </w:tc>
        <w:tc>
          <w:tcPr>
            <w:tcW w:w="5783" w:type="dxa"/>
            <w:vAlign w:val="center"/>
          </w:tcPr>
          <w:p>
            <w:pPr>
              <w:shd w:val="clear"/>
              <w:adjustRightInd w:val="0"/>
              <w:snapToGrid w:val="0"/>
              <w:jc w:val="center"/>
              <w:rPr>
                <w:rFonts w:ascii="宋体" w:hAnsi="宋体"/>
                <w:b/>
                <w:szCs w:val="21"/>
                <w:highlight w:val="none"/>
              </w:rPr>
            </w:pPr>
            <w:r>
              <w:rPr>
                <w:rFonts w:hint="eastAsia" w:ascii="宋体" w:hAnsi="宋体"/>
                <w:b/>
                <w:szCs w:val="21"/>
                <w:highlight w:val="none"/>
              </w:rPr>
              <w:t>评审分项</w:t>
            </w:r>
          </w:p>
        </w:tc>
        <w:tc>
          <w:tcPr>
            <w:tcW w:w="2759" w:type="dxa"/>
            <w:vAlign w:val="center"/>
          </w:tcPr>
          <w:p>
            <w:pPr>
              <w:shd w:val="clear"/>
              <w:adjustRightInd w:val="0"/>
              <w:snapToGrid w:val="0"/>
              <w:jc w:val="center"/>
              <w:rPr>
                <w:rFonts w:ascii="宋体" w:hAnsi="宋体"/>
                <w:b/>
                <w:szCs w:val="21"/>
                <w:highlight w:val="none"/>
              </w:rPr>
            </w:pPr>
            <w:r>
              <w:rPr>
                <w:rFonts w:hint="eastAsia" w:ascii="宋体" w:hAnsi="宋体"/>
                <w:b/>
                <w:szCs w:val="21"/>
                <w:highlight w:val="none"/>
              </w:rPr>
              <w:t>证明文件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46" w:type="dxa"/>
            <w:vAlign w:val="center"/>
          </w:tcPr>
          <w:p>
            <w:pPr>
              <w:numPr>
                <w:ilvl w:val="0"/>
                <w:numId w:val="144"/>
              </w:numPr>
              <w:shd w:val="clear"/>
              <w:adjustRightInd w:val="0"/>
              <w:snapToGrid w:val="0"/>
              <w:rPr>
                <w:rFonts w:ascii="宋体" w:hAnsi="宋体"/>
                <w:szCs w:val="21"/>
                <w:highlight w:val="none"/>
              </w:rPr>
            </w:pPr>
          </w:p>
        </w:tc>
        <w:tc>
          <w:tcPr>
            <w:tcW w:w="5783" w:type="dxa"/>
            <w:vAlign w:val="center"/>
          </w:tcPr>
          <w:p>
            <w:pPr>
              <w:shd w:val="clear"/>
              <w:adjustRightInd w:val="0"/>
              <w:snapToGrid w:val="0"/>
              <w:jc w:val="center"/>
              <w:rPr>
                <w:rFonts w:ascii="宋体" w:hAnsi="宋体"/>
                <w:szCs w:val="21"/>
                <w:highlight w:val="none"/>
              </w:rPr>
            </w:pPr>
            <w:r>
              <w:rPr>
                <w:rFonts w:hint="eastAsia" w:hAnsi="宋体" w:cs="Courier New"/>
                <w:highlight w:val="none"/>
              </w:rPr>
              <w:t>开标一览表（报价表）</w:t>
            </w:r>
          </w:p>
        </w:tc>
        <w:tc>
          <w:tcPr>
            <w:tcW w:w="2759"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46" w:type="dxa"/>
            <w:vAlign w:val="center"/>
          </w:tcPr>
          <w:p>
            <w:pPr>
              <w:numPr>
                <w:ilvl w:val="0"/>
                <w:numId w:val="144"/>
              </w:numPr>
              <w:shd w:val="clear"/>
              <w:adjustRightInd w:val="0"/>
              <w:snapToGrid w:val="0"/>
              <w:rPr>
                <w:rFonts w:ascii="宋体" w:hAnsi="宋体"/>
                <w:szCs w:val="21"/>
                <w:highlight w:val="none"/>
              </w:rPr>
            </w:pPr>
          </w:p>
        </w:tc>
        <w:tc>
          <w:tcPr>
            <w:tcW w:w="5783"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分项报价表</w:t>
            </w:r>
          </w:p>
        </w:tc>
        <w:tc>
          <w:tcPr>
            <w:tcW w:w="2759"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bl>
    <w:p>
      <w:pPr>
        <w:shd w:val="clear"/>
        <w:adjustRightInd w:val="0"/>
        <w:snapToGrid w:val="0"/>
        <w:spacing w:line="360" w:lineRule="auto"/>
        <w:rPr>
          <w:rFonts w:ascii="黑体" w:hAnsi="黑体" w:eastAsia="黑体" w:cs="黑体"/>
          <w:b/>
          <w:sz w:val="15"/>
          <w:szCs w:val="15"/>
          <w:highlight w:val="none"/>
        </w:rPr>
      </w:pPr>
    </w:p>
    <w:p>
      <w:pPr>
        <w:numPr>
          <w:ilvl w:val="0"/>
          <w:numId w:val="145"/>
        </w:numPr>
        <w:shd w:val="clear"/>
        <w:rPr>
          <w:rFonts w:ascii="黑体" w:hAnsi="黑体" w:eastAsia="黑体" w:cs="黑体"/>
          <w:b/>
          <w:sz w:val="24"/>
          <w:highlight w:val="none"/>
        </w:rPr>
      </w:pPr>
      <w:r>
        <w:rPr>
          <w:rFonts w:hint="eastAsia" w:ascii="黑体" w:hAnsi="黑体" w:eastAsia="黑体" w:cs="黑体"/>
          <w:b/>
          <w:sz w:val="24"/>
          <w:highlight w:val="none"/>
        </w:rPr>
        <w:t>其他内容</w:t>
      </w:r>
    </w:p>
    <w:p>
      <w:pPr>
        <w:widowControl/>
        <w:shd w:val="clear"/>
        <w:wordWrap w:val="0"/>
        <w:jc w:val="left"/>
        <w:rPr>
          <w:rFonts w:ascii="黑体" w:hAnsi="黑体" w:eastAsia="黑体" w:cs="黑体"/>
          <w:b/>
          <w:sz w:val="24"/>
          <w:highlight w:val="none"/>
        </w:rPr>
      </w:pPr>
      <w:r>
        <w:rPr>
          <w:rFonts w:hint="eastAsia" w:ascii="宋体" w:hAnsi="宋体"/>
          <w:highlight w:val="none"/>
        </w:rPr>
        <w:t>投标人名称：                                                 项目编号：BDGZ2023024</w:t>
      </w:r>
      <w:r>
        <w:rPr>
          <w:rFonts w:ascii="ˎ̥" w:hAnsi="ˎ̥" w:cs="宋体"/>
          <w:kern w:val="0"/>
          <w:sz w:val="18"/>
          <w:szCs w:val="18"/>
          <w:highlight w:val="none"/>
        </w:rPr>
        <w:t>  </w:t>
      </w:r>
    </w:p>
    <w:tbl>
      <w:tblPr>
        <w:tblStyle w:val="22"/>
        <w:tblW w:w="92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6"/>
        <w:gridCol w:w="5422"/>
        <w:gridCol w:w="31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46" w:type="dxa"/>
            <w:vAlign w:val="center"/>
          </w:tcPr>
          <w:p>
            <w:pPr>
              <w:shd w:val="clear"/>
              <w:adjustRightInd w:val="0"/>
              <w:snapToGrid w:val="0"/>
              <w:jc w:val="center"/>
              <w:rPr>
                <w:rFonts w:ascii="宋体" w:hAnsi="宋体"/>
                <w:b/>
                <w:szCs w:val="21"/>
                <w:highlight w:val="none"/>
              </w:rPr>
            </w:pPr>
            <w:r>
              <w:rPr>
                <w:rFonts w:hint="eastAsia" w:ascii="宋体" w:hAnsi="宋体"/>
                <w:b/>
                <w:szCs w:val="21"/>
                <w:highlight w:val="none"/>
              </w:rPr>
              <w:t>序号</w:t>
            </w:r>
          </w:p>
        </w:tc>
        <w:tc>
          <w:tcPr>
            <w:tcW w:w="5422" w:type="dxa"/>
            <w:vAlign w:val="center"/>
          </w:tcPr>
          <w:p>
            <w:pPr>
              <w:shd w:val="clear"/>
              <w:adjustRightInd w:val="0"/>
              <w:snapToGrid w:val="0"/>
              <w:jc w:val="center"/>
              <w:rPr>
                <w:rFonts w:ascii="宋体" w:hAnsi="宋体"/>
                <w:b/>
                <w:szCs w:val="21"/>
                <w:highlight w:val="none"/>
              </w:rPr>
            </w:pPr>
            <w:r>
              <w:rPr>
                <w:rFonts w:hint="eastAsia" w:ascii="宋体" w:hAnsi="宋体"/>
                <w:b/>
                <w:szCs w:val="21"/>
                <w:highlight w:val="none"/>
              </w:rPr>
              <w:t>其他内容资料</w:t>
            </w:r>
          </w:p>
        </w:tc>
        <w:tc>
          <w:tcPr>
            <w:tcW w:w="3120" w:type="dxa"/>
            <w:vAlign w:val="center"/>
          </w:tcPr>
          <w:p>
            <w:pPr>
              <w:shd w:val="clear"/>
              <w:adjustRightInd w:val="0"/>
              <w:snapToGrid w:val="0"/>
              <w:jc w:val="center"/>
              <w:rPr>
                <w:rFonts w:ascii="宋体" w:hAnsi="宋体"/>
                <w:b/>
                <w:szCs w:val="21"/>
                <w:highlight w:val="none"/>
              </w:rPr>
            </w:pPr>
            <w:r>
              <w:rPr>
                <w:rFonts w:hint="eastAsia" w:ascii="宋体" w:hAnsi="宋体"/>
                <w:b/>
                <w:szCs w:val="21"/>
                <w:highlight w:val="none"/>
              </w:rPr>
              <w:t>证明文件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46" w:type="dxa"/>
            <w:vAlign w:val="center"/>
          </w:tcPr>
          <w:p>
            <w:pPr>
              <w:numPr>
                <w:ilvl w:val="0"/>
                <w:numId w:val="146"/>
              </w:numPr>
              <w:shd w:val="clear"/>
              <w:adjustRightInd w:val="0"/>
              <w:snapToGrid w:val="0"/>
              <w:rPr>
                <w:rFonts w:ascii="宋体" w:hAnsi="宋体"/>
                <w:szCs w:val="21"/>
                <w:highlight w:val="none"/>
              </w:rPr>
            </w:pPr>
          </w:p>
        </w:tc>
        <w:tc>
          <w:tcPr>
            <w:tcW w:w="5422" w:type="dxa"/>
            <w:vAlign w:val="center"/>
          </w:tcPr>
          <w:p>
            <w:pPr>
              <w:shd w:val="clear"/>
              <w:adjustRightInd w:val="0"/>
              <w:snapToGrid w:val="0"/>
              <w:rPr>
                <w:rFonts w:hAnsi="宋体" w:cs="Courier New"/>
                <w:kern w:val="0"/>
                <w:highlight w:val="none"/>
              </w:rPr>
            </w:pPr>
            <w:r>
              <w:rPr>
                <w:rFonts w:hint="eastAsia" w:ascii="宋体" w:hAnsi="宋体"/>
                <w:szCs w:val="21"/>
                <w:highlight w:val="none"/>
              </w:rPr>
              <w:t>投标人基本情况表</w:t>
            </w:r>
          </w:p>
        </w:tc>
        <w:tc>
          <w:tcPr>
            <w:tcW w:w="3120"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46" w:type="dxa"/>
            <w:vAlign w:val="center"/>
          </w:tcPr>
          <w:p>
            <w:pPr>
              <w:numPr>
                <w:ilvl w:val="0"/>
                <w:numId w:val="146"/>
              </w:numPr>
              <w:shd w:val="clear"/>
              <w:adjustRightInd w:val="0"/>
              <w:snapToGrid w:val="0"/>
              <w:rPr>
                <w:rFonts w:ascii="宋体" w:hAnsi="宋体"/>
                <w:szCs w:val="21"/>
                <w:highlight w:val="none"/>
              </w:rPr>
            </w:pPr>
          </w:p>
        </w:tc>
        <w:tc>
          <w:tcPr>
            <w:tcW w:w="5422" w:type="dxa"/>
            <w:vAlign w:val="center"/>
          </w:tcPr>
          <w:p>
            <w:pPr>
              <w:shd w:val="clear"/>
              <w:adjustRightInd w:val="0"/>
              <w:snapToGrid w:val="0"/>
              <w:rPr>
                <w:rFonts w:ascii="宋体" w:hAnsi="宋体"/>
                <w:color w:val="000000"/>
                <w:szCs w:val="21"/>
                <w:highlight w:val="none"/>
              </w:rPr>
            </w:pPr>
            <w:r>
              <w:rPr>
                <w:rFonts w:hint="eastAsia" w:ascii="宋体" w:hAnsi="宋体"/>
                <w:szCs w:val="21"/>
                <w:highlight w:val="none"/>
              </w:rPr>
              <w:t>用户需求条款响应一览表</w:t>
            </w:r>
          </w:p>
        </w:tc>
        <w:tc>
          <w:tcPr>
            <w:tcW w:w="3120"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46" w:type="dxa"/>
            <w:vAlign w:val="center"/>
          </w:tcPr>
          <w:p>
            <w:pPr>
              <w:numPr>
                <w:ilvl w:val="0"/>
                <w:numId w:val="146"/>
              </w:numPr>
              <w:shd w:val="clear"/>
              <w:adjustRightInd w:val="0"/>
              <w:snapToGrid w:val="0"/>
              <w:rPr>
                <w:rFonts w:ascii="宋体" w:hAnsi="宋体"/>
                <w:szCs w:val="21"/>
                <w:highlight w:val="none"/>
              </w:rPr>
            </w:pPr>
          </w:p>
        </w:tc>
        <w:tc>
          <w:tcPr>
            <w:tcW w:w="5422" w:type="dxa"/>
            <w:vAlign w:val="center"/>
          </w:tcPr>
          <w:p>
            <w:pPr>
              <w:shd w:val="clear"/>
              <w:adjustRightInd w:val="0"/>
              <w:snapToGrid w:val="0"/>
              <w:rPr>
                <w:rFonts w:hAnsi="宋体" w:cs="Courier New"/>
                <w:kern w:val="0"/>
                <w:highlight w:val="none"/>
              </w:rPr>
            </w:pPr>
            <w:r>
              <w:rPr>
                <w:rFonts w:hint="eastAsia" w:hAnsi="宋体" w:cs="Courier New"/>
                <w:kern w:val="0"/>
                <w:highlight w:val="none"/>
              </w:rPr>
              <w:t>招标代理服务费承诺书</w:t>
            </w:r>
          </w:p>
        </w:tc>
        <w:tc>
          <w:tcPr>
            <w:tcW w:w="3120"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46" w:type="dxa"/>
            <w:vAlign w:val="center"/>
          </w:tcPr>
          <w:p>
            <w:pPr>
              <w:numPr>
                <w:ilvl w:val="0"/>
                <w:numId w:val="146"/>
              </w:numPr>
              <w:shd w:val="clear"/>
              <w:adjustRightInd w:val="0"/>
              <w:snapToGrid w:val="0"/>
              <w:rPr>
                <w:rFonts w:ascii="宋体" w:hAnsi="宋体"/>
                <w:szCs w:val="21"/>
                <w:highlight w:val="none"/>
              </w:rPr>
            </w:pPr>
          </w:p>
        </w:tc>
        <w:tc>
          <w:tcPr>
            <w:tcW w:w="5422" w:type="dxa"/>
            <w:vAlign w:val="center"/>
          </w:tcPr>
          <w:p>
            <w:pPr>
              <w:shd w:val="clear"/>
              <w:adjustRightInd w:val="0"/>
              <w:snapToGrid w:val="0"/>
              <w:rPr>
                <w:rFonts w:ascii="宋体" w:hAnsi="宋体"/>
                <w:szCs w:val="21"/>
                <w:highlight w:val="none"/>
              </w:rPr>
            </w:pPr>
            <w:r>
              <w:rPr>
                <w:rFonts w:hint="eastAsia" w:ascii="宋体" w:hAnsi="宋体"/>
                <w:szCs w:val="21"/>
                <w:highlight w:val="none"/>
              </w:rPr>
              <w:t>投标人认为需要的其他内容</w:t>
            </w:r>
          </w:p>
        </w:tc>
        <w:tc>
          <w:tcPr>
            <w:tcW w:w="3120" w:type="dxa"/>
            <w:vAlign w:val="center"/>
          </w:tcPr>
          <w:p>
            <w:pPr>
              <w:shd w:val="clear"/>
              <w:adjustRightInd w:val="0"/>
              <w:snapToGrid w:val="0"/>
              <w:jc w:val="center"/>
              <w:rPr>
                <w:rFonts w:ascii="宋体" w:hAnsi="宋体"/>
                <w:szCs w:val="21"/>
                <w:highlight w:val="none"/>
              </w:rPr>
            </w:pPr>
            <w:r>
              <w:rPr>
                <w:rFonts w:hint="eastAsia" w:ascii="宋体" w:hAnsi="宋体"/>
                <w:szCs w:val="21"/>
                <w:highlight w:val="none"/>
              </w:rPr>
              <w:t>第（ ）页</w:t>
            </w:r>
          </w:p>
        </w:tc>
      </w:tr>
    </w:tbl>
    <w:p>
      <w:pPr>
        <w:shd w:val="clear"/>
        <w:tabs>
          <w:tab w:val="left" w:pos="425"/>
        </w:tabs>
        <w:spacing w:line="440" w:lineRule="exact"/>
        <w:rPr>
          <w:rFonts w:ascii="Arial" w:hAnsi="Arial" w:eastAsia="黑体"/>
          <w:b/>
          <w:bCs/>
          <w:sz w:val="32"/>
          <w:szCs w:val="32"/>
          <w:highlight w:val="none"/>
        </w:rPr>
      </w:pPr>
    </w:p>
    <w:p>
      <w:pPr>
        <w:pStyle w:val="2"/>
        <w:shd w:val="clear"/>
        <w:rPr>
          <w:rFonts w:ascii="Arial" w:hAnsi="Arial" w:eastAsia="黑体"/>
          <w:b/>
          <w:bCs/>
          <w:sz w:val="32"/>
          <w:szCs w:val="32"/>
          <w:highlight w:val="none"/>
        </w:rPr>
      </w:pPr>
    </w:p>
    <w:p>
      <w:pPr>
        <w:shd w:val="clear"/>
        <w:rPr>
          <w:rFonts w:ascii="Arial" w:hAnsi="Arial" w:eastAsia="黑体"/>
          <w:b/>
          <w:bCs/>
          <w:sz w:val="32"/>
          <w:szCs w:val="32"/>
          <w:highlight w:val="none"/>
        </w:rPr>
      </w:pPr>
      <w:r>
        <w:rPr>
          <w:rFonts w:hint="eastAsia" w:ascii="Arial" w:hAnsi="Arial" w:eastAsia="黑体"/>
          <w:b/>
          <w:bCs/>
          <w:sz w:val="32"/>
          <w:szCs w:val="32"/>
          <w:highlight w:val="none"/>
        </w:rPr>
        <w:br w:type="page"/>
      </w:r>
    </w:p>
    <w:p>
      <w:pPr>
        <w:numPr>
          <w:ilvl w:val="0"/>
          <w:numId w:val="147"/>
        </w:numPr>
        <w:shd w:val="clear"/>
        <w:spacing w:line="440" w:lineRule="exact"/>
        <w:rPr>
          <w:rFonts w:ascii="Arial" w:hAnsi="Arial" w:eastAsia="黑体"/>
          <w:b/>
          <w:bCs/>
          <w:sz w:val="32"/>
          <w:szCs w:val="32"/>
          <w:highlight w:val="none"/>
        </w:rPr>
      </w:pPr>
    </w:p>
    <w:p>
      <w:pPr>
        <w:pStyle w:val="5"/>
        <w:shd w:val="clear"/>
        <w:adjustRightInd w:val="0"/>
        <w:snapToGrid w:val="0"/>
        <w:spacing w:before="156" w:beforeLines="50" w:after="156" w:afterLines="50" w:line="360" w:lineRule="auto"/>
        <w:jc w:val="center"/>
        <w:rPr>
          <w:b w:val="0"/>
          <w:bCs w:val="0"/>
          <w:highlight w:val="none"/>
        </w:rPr>
      </w:pPr>
      <w:bookmarkStart w:id="111" w:name="_Toc275865605"/>
      <w:r>
        <w:rPr>
          <w:rFonts w:hint="eastAsia"/>
          <w:b w:val="0"/>
          <w:bCs w:val="0"/>
          <w:highlight w:val="none"/>
        </w:rPr>
        <w:t>投  标  函</w:t>
      </w:r>
      <w:bookmarkEnd w:id="111"/>
    </w:p>
    <w:p>
      <w:pPr>
        <w:shd w:val="clear"/>
        <w:spacing w:line="360" w:lineRule="auto"/>
        <w:ind w:left="105" w:leftChars="50" w:firstLine="2"/>
        <w:rPr>
          <w:rFonts w:ascii="宋体" w:hAnsi="宋体" w:cs="宋体"/>
          <w:b/>
          <w:szCs w:val="21"/>
          <w:highlight w:val="none"/>
        </w:rPr>
      </w:pPr>
      <w:r>
        <w:rPr>
          <w:rFonts w:hint="eastAsia" w:ascii="宋体" w:hAnsi="宋体" w:cs="宋体"/>
          <w:b/>
          <w:szCs w:val="21"/>
          <w:highlight w:val="none"/>
        </w:rPr>
        <w:t>致：广东必鼎工程项目管理有限公司</w:t>
      </w:r>
    </w:p>
    <w:p>
      <w:pPr>
        <w:shd w:val="clear"/>
        <w:spacing w:line="360" w:lineRule="auto"/>
        <w:ind w:left="105" w:leftChars="50" w:firstLine="373" w:firstLineChars="178"/>
        <w:rPr>
          <w:rFonts w:ascii="宋体" w:hAnsi="宋体" w:cs="宋体"/>
          <w:szCs w:val="21"/>
          <w:highlight w:val="none"/>
        </w:rPr>
      </w:pPr>
      <w:r>
        <w:rPr>
          <w:rFonts w:hint="eastAsia" w:ascii="宋体" w:hAnsi="宋体" w:cs="宋体"/>
          <w:szCs w:val="21"/>
          <w:highlight w:val="none"/>
        </w:rPr>
        <w:t>我方确认收到贵方</w:t>
      </w:r>
      <w:r>
        <w:rPr>
          <w:rFonts w:hint="eastAsia" w:ascii="宋体" w:hAnsi="宋体" w:cs="宋体"/>
          <w:kern w:val="28"/>
          <w:szCs w:val="21"/>
          <w:highlight w:val="none"/>
          <w:u w:val="single"/>
        </w:rPr>
        <w:t xml:space="preserve">           （项目名称）        </w:t>
      </w:r>
      <w:r>
        <w:rPr>
          <w:rFonts w:hint="eastAsia" w:ascii="宋体" w:hAnsi="宋体" w:cs="宋体"/>
          <w:kern w:val="28"/>
          <w:szCs w:val="21"/>
          <w:highlight w:val="none"/>
        </w:rPr>
        <w:t>采购</w:t>
      </w:r>
      <w:r>
        <w:rPr>
          <w:rFonts w:hint="eastAsia" w:ascii="宋体" w:hAnsi="宋体" w:cs="宋体"/>
          <w:szCs w:val="21"/>
          <w:highlight w:val="none"/>
        </w:rPr>
        <w:t>服务的招标文件（项目编号：BDGZ2023024），</w:t>
      </w:r>
      <w:r>
        <w:rPr>
          <w:rFonts w:hint="eastAsia" w:ascii="宋体" w:hAnsi="宋体" w:cs="宋体"/>
          <w:kern w:val="28"/>
          <w:szCs w:val="21"/>
          <w:highlight w:val="none"/>
          <w:u w:val="single"/>
        </w:rPr>
        <w:t xml:space="preserve">     </w:t>
      </w:r>
      <w:r>
        <w:rPr>
          <w:rFonts w:hint="eastAsia" w:ascii="宋体" w:hAnsi="宋体" w:cs="宋体"/>
          <w:szCs w:val="21"/>
          <w:highlight w:val="none"/>
          <w:u w:val="single"/>
        </w:rPr>
        <w:t xml:space="preserve"> (投标人名称、地址)</w:t>
      </w:r>
      <w:r>
        <w:rPr>
          <w:rFonts w:hint="eastAsia" w:ascii="宋体" w:hAnsi="宋体" w:cs="宋体"/>
          <w:kern w:val="28"/>
          <w:szCs w:val="21"/>
          <w:highlight w:val="none"/>
          <w:u w:val="single"/>
        </w:rPr>
        <w:t xml:space="preserve">     </w:t>
      </w:r>
      <w:r>
        <w:rPr>
          <w:rFonts w:hint="eastAsia" w:ascii="宋体" w:hAnsi="宋体" w:cs="宋体"/>
          <w:szCs w:val="21"/>
          <w:highlight w:val="none"/>
        </w:rPr>
        <w:t>作为投标人已正式授权</w:t>
      </w:r>
      <w:r>
        <w:rPr>
          <w:rFonts w:hint="eastAsia" w:ascii="宋体" w:hAnsi="宋体" w:cs="宋体"/>
          <w:kern w:val="28"/>
          <w:szCs w:val="21"/>
          <w:highlight w:val="none"/>
          <w:u w:val="single"/>
        </w:rPr>
        <w:t xml:space="preserve">     </w:t>
      </w:r>
      <w:r>
        <w:rPr>
          <w:rFonts w:hint="eastAsia" w:ascii="宋体" w:hAnsi="宋体" w:cs="宋体"/>
          <w:szCs w:val="21"/>
          <w:highlight w:val="none"/>
          <w:u w:val="single"/>
        </w:rPr>
        <w:t xml:space="preserve"> (被投标人授权代表全名、职务)</w:t>
      </w:r>
      <w:r>
        <w:rPr>
          <w:rFonts w:hint="eastAsia" w:ascii="宋体" w:hAnsi="宋体" w:cs="宋体"/>
          <w:kern w:val="28"/>
          <w:szCs w:val="21"/>
          <w:highlight w:val="none"/>
          <w:u w:val="single"/>
        </w:rPr>
        <w:t xml:space="preserve">     </w:t>
      </w:r>
      <w:r>
        <w:rPr>
          <w:rFonts w:hint="eastAsia" w:ascii="宋体" w:hAnsi="宋体" w:cs="宋体"/>
          <w:szCs w:val="21"/>
          <w:highlight w:val="none"/>
        </w:rPr>
        <w:t>为我方签名代表，签名代表在此声明并同意：</w:t>
      </w:r>
    </w:p>
    <w:p>
      <w:pPr>
        <w:numPr>
          <w:ilvl w:val="0"/>
          <w:numId w:val="148"/>
        </w:numPr>
        <w:shd w:val="clear"/>
        <w:snapToGrid w:val="0"/>
        <w:spacing w:line="360" w:lineRule="auto"/>
        <w:rPr>
          <w:rFonts w:ascii="宋体" w:hAnsi="宋体" w:cs="宋体"/>
          <w:b/>
          <w:szCs w:val="21"/>
          <w:highlight w:val="none"/>
        </w:rPr>
      </w:pPr>
      <w:r>
        <w:rPr>
          <w:rFonts w:hint="eastAsia" w:ascii="宋体" w:hAnsi="宋体" w:cs="宋体"/>
          <w:b/>
          <w:szCs w:val="21"/>
          <w:highlight w:val="none"/>
        </w:rPr>
        <w:t>我们愿意遵守招标代理机构招标文件的各项规定，自愿参加投标，并已清楚招标文件的要求及有关文件规定，并严格按照招标文件的规定履行全部责任和义务。</w:t>
      </w:r>
    </w:p>
    <w:p>
      <w:pPr>
        <w:numPr>
          <w:ilvl w:val="0"/>
          <w:numId w:val="148"/>
        </w:numPr>
        <w:shd w:val="clear"/>
        <w:snapToGrid w:val="0"/>
        <w:spacing w:line="360" w:lineRule="auto"/>
        <w:rPr>
          <w:rFonts w:ascii="宋体" w:hAnsi="宋体" w:cs="宋体"/>
          <w:b/>
          <w:szCs w:val="21"/>
          <w:highlight w:val="none"/>
        </w:rPr>
      </w:pPr>
      <w:r>
        <w:rPr>
          <w:rFonts w:hint="eastAsia" w:ascii="宋体" w:hAnsi="宋体" w:cs="宋体"/>
          <w:b/>
          <w:szCs w:val="21"/>
          <w:highlight w:val="none"/>
        </w:rPr>
        <w:t>我们同意本投标自投标截止之日起</w:t>
      </w:r>
      <w:r>
        <w:rPr>
          <w:rFonts w:hint="eastAsia" w:ascii="宋体" w:hAnsi="宋体" w:cs="宋体"/>
          <w:b/>
          <w:szCs w:val="21"/>
          <w:highlight w:val="none"/>
          <w:u w:val="single"/>
        </w:rPr>
        <w:t>90</w:t>
      </w:r>
      <w:r>
        <w:rPr>
          <w:rFonts w:hint="eastAsia" w:ascii="宋体" w:hAnsi="宋体" w:cs="宋体"/>
          <w:b/>
          <w:szCs w:val="21"/>
          <w:highlight w:val="none"/>
        </w:rPr>
        <w:t>天内有效。如果我们的投标被接受，则直至合同生效时止，本投标始终有效并不撤回已递交的投标文件。</w:t>
      </w:r>
    </w:p>
    <w:p>
      <w:pPr>
        <w:numPr>
          <w:ilvl w:val="0"/>
          <w:numId w:val="148"/>
        </w:numPr>
        <w:shd w:val="clear"/>
        <w:snapToGrid w:val="0"/>
        <w:spacing w:line="360" w:lineRule="auto"/>
        <w:rPr>
          <w:rFonts w:ascii="宋体" w:hAnsi="宋体" w:cs="宋体"/>
          <w:b/>
          <w:szCs w:val="21"/>
          <w:highlight w:val="none"/>
        </w:rPr>
      </w:pPr>
      <w:r>
        <w:rPr>
          <w:rFonts w:hint="eastAsia" w:ascii="宋体" w:hAnsi="宋体" w:cs="宋体"/>
          <w:b/>
          <w:szCs w:val="21"/>
          <w:highlight w:val="none"/>
        </w:rPr>
        <w:t>我们已经详细地阅读并完全明白了全部招标文件及附件，包括澄清（如有）及参考文件，我们完全理解本招标文件的要求，我们同意放弃对招标文件提出不明或误解的一切权力。</w:t>
      </w:r>
    </w:p>
    <w:p>
      <w:pPr>
        <w:numPr>
          <w:ilvl w:val="0"/>
          <w:numId w:val="148"/>
        </w:numPr>
        <w:shd w:val="clear"/>
        <w:snapToGrid w:val="0"/>
        <w:spacing w:line="360" w:lineRule="auto"/>
        <w:rPr>
          <w:rFonts w:ascii="宋体" w:hAnsi="宋体" w:cs="宋体"/>
          <w:b/>
          <w:szCs w:val="21"/>
          <w:highlight w:val="none"/>
        </w:rPr>
      </w:pPr>
      <w:r>
        <w:rPr>
          <w:rFonts w:hint="eastAsia" w:ascii="宋体" w:hAnsi="宋体" w:cs="宋体"/>
          <w:b/>
          <w:szCs w:val="21"/>
          <w:highlight w:val="none"/>
        </w:rPr>
        <w:t>我们同意提供招标采购单位与评标委员会要求的有关投标的一切数据或资料。</w:t>
      </w:r>
    </w:p>
    <w:p>
      <w:pPr>
        <w:numPr>
          <w:ilvl w:val="0"/>
          <w:numId w:val="148"/>
        </w:numPr>
        <w:shd w:val="clear"/>
        <w:snapToGrid w:val="0"/>
        <w:spacing w:line="360" w:lineRule="auto"/>
        <w:rPr>
          <w:rFonts w:ascii="宋体" w:hAnsi="宋体" w:cs="宋体"/>
          <w:b/>
          <w:szCs w:val="21"/>
          <w:highlight w:val="none"/>
        </w:rPr>
      </w:pPr>
      <w:r>
        <w:rPr>
          <w:rFonts w:hint="eastAsia" w:ascii="宋体" w:hAnsi="宋体" w:cs="宋体"/>
          <w:b/>
          <w:szCs w:val="21"/>
          <w:highlight w:val="none"/>
        </w:rPr>
        <w:t>我们理解招标采购单位与评标委员会并无义务必须接受最低报价的投标或其它任何投标，完全理解招标代理机构拒绝迟到的任何投标和最低投标报价不是被授予中标的唯一条件。</w:t>
      </w:r>
    </w:p>
    <w:p>
      <w:pPr>
        <w:numPr>
          <w:ilvl w:val="0"/>
          <w:numId w:val="148"/>
        </w:numPr>
        <w:shd w:val="clear"/>
        <w:snapToGrid w:val="0"/>
        <w:spacing w:line="360" w:lineRule="auto"/>
        <w:rPr>
          <w:rFonts w:ascii="宋体" w:hAnsi="宋体" w:cs="宋体"/>
          <w:b/>
          <w:szCs w:val="21"/>
          <w:highlight w:val="none"/>
        </w:rPr>
      </w:pPr>
      <w:r>
        <w:rPr>
          <w:rFonts w:hint="eastAsia" w:ascii="宋体" w:hAnsi="宋体" w:cs="宋体"/>
          <w:b/>
          <w:szCs w:val="21"/>
          <w:highlight w:val="none"/>
        </w:rPr>
        <w:t xml:space="preserve">如果我们未对招标文件全部要求作出实质性响应，则完全同意并接受按无效投标处理。 </w:t>
      </w:r>
    </w:p>
    <w:p>
      <w:pPr>
        <w:numPr>
          <w:ilvl w:val="0"/>
          <w:numId w:val="148"/>
        </w:numPr>
        <w:shd w:val="clear"/>
        <w:snapToGrid w:val="0"/>
        <w:spacing w:line="360" w:lineRule="auto"/>
        <w:rPr>
          <w:rFonts w:ascii="宋体" w:hAnsi="宋体" w:cs="宋体"/>
          <w:b/>
          <w:szCs w:val="21"/>
          <w:highlight w:val="none"/>
        </w:rPr>
      </w:pPr>
      <w:r>
        <w:rPr>
          <w:rFonts w:hint="eastAsia" w:ascii="宋体" w:hAnsi="宋体" w:cs="宋体"/>
          <w:b/>
          <w:szCs w:val="21"/>
          <w:highlight w:val="none"/>
        </w:rPr>
        <w:t>我们证明提交的一切文件，无论是原件还是复印件均为准确、真实、有效、完整的，绝无任何虚假、伪造或者夸大。我们在此郑重承诺：在本次招标采购活动中，如有违法、违规、弄虚作假行为，所造成的损失、不良后果及法律责任，一律由我公司（企业）承担。</w:t>
      </w:r>
    </w:p>
    <w:p>
      <w:pPr>
        <w:numPr>
          <w:ilvl w:val="0"/>
          <w:numId w:val="148"/>
        </w:numPr>
        <w:shd w:val="clear"/>
        <w:snapToGrid w:val="0"/>
        <w:spacing w:line="360" w:lineRule="auto"/>
        <w:rPr>
          <w:rFonts w:ascii="宋体" w:hAnsi="宋体" w:cs="宋体"/>
          <w:b/>
          <w:szCs w:val="21"/>
          <w:highlight w:val="none"/>
        </w:rPr>
      </w:pPr>
      <w:r>
        <w:rPr>
          <w:rFonts w:hint="eastAsia" w:ascii="宋体" w:hAnsi="宋体" w:cs="宋体"/>
          <w:b/>
          <w:szCs w:val="21"/>
          <w:highlight w:val="none"/>
        </w:rPr>
        <w:t>如果我们提供的声明或承诺不真实，则完全同意认定为我司提供虚假材料，并同意作相应处理。</w:t>
      </w:r>
    </w:p>
    <w:p>
      <w:pPr>
        <w:numPr>
          <w:ilvl w:val="0"/>
          <w:numId w:val="148"/>
        </w:numPr>
        <w:shd w:val="clear"/>
        <w:snapToGrid w:val="0"/>
        <w:spacing w:line="360" w:lineRule="auto"/>
        <w:rPr>
          <w:rFonts w:ascii="宋体" w:hAnsi="宋体" w:cs="宋体"/>
          <w:b/>
          <w:szCs w:val="21"/>
          <w:highlight w:val="none"/>
        </w:rPr>
      </w:pPr>
      <w:r>
        <w:rPr>
          <w:rFonts w:hint="eastAsia" w:ascii="宋体" w:hAnsi="宋体" w:cs="宋体"/>
          <w:b/>
          <w:szCs w:val="21"/>
          <w:highlight w:val="none"/>
        </w:rPr>
        <w:t>我们是依法注册的法人，在法律、财务及运作上完全独立于招标人、用户单位（如有）和招标代理机构。</w:t>
      </w:r>
    </w:p>
    <w:p>
      <w:pPr>
        <w:numPr>
          <w:ilvl w:val="0"/>
          <w:numId w:val="148"/>
        </w:numPr>
        <w:shd w:val="clear"/>
        <w:snapToGrid w:val="0"/>
        <w:spacing w:line="360" w:lineRule="auto"/>
        <w:rPr>
          <w:rFonts w:ascii="宋体" w:hAnsi="宋体" w:cs="宋体"/>
          <w:b/>
          <w:szCs w:val="21"/>
          <w:highlight w:val="none"/>
        </w:rPr>
      </w:pPr>
      <w:r>
        <w:rPr>
          <w:rFonts w:hint="eastAsia" w:ascii="宋体" w:hAnsi="宋体" w:cs="宋体"/>
          <w:b/>
          <w:szCs w:val="21"/>
          <w:highlight w:val="none"/>
        </w:rPr>
        <w:t>所有有关本次投标的函电请寄：</w:t>
      </w:r>
      <w:r>
        <w:rPr>
          <w:rFonts w:hint="eastAsia" w:ascii="宋体" w:hAnsi="宋体" w:cs="宋体"/>
          <w:b/>
          <w:szCs w:val="21"/>
          <w:highlight w:val="none"/>
          <w:u w:val="single"/>
        </w:rPr>
        <w:t xml:space="preserve">  （投标人地址）   </w:t>
      </w:r>
      <w:r>
        <w:rPr>
          <w:rFonts w:hint="eastAsia" w:ascii="宋体" w:hAnsi="宋体" w:cs="宋体"/>
          <w:b/>
          <w:szCs w:val="21"/>
          <w:highlight w:val="none"/>
        </w:rPr>
        <w:t xml:space="preserve">  </w:t>
      </w:r>
    </w:p>
    <w:p>
      <w:pPr>
        <w:shd w:val="clear"/>
        <w:autoSpaceDE w:val="0"/>
        <w:autoSpaceDN w:val="0"/>
        <w:adjustRightInd w:val="0"/>
        <w:spacing w:line="360" w:lineRule="auto"/>
        <w:ind w:left="420" w:firstLine="310"/>
        <w:rPr>
          <w:rFonts w:ascii="宋体" w:hAnsi="宋体" w:cs="宋体"/>
          <w:b/>
          <w:szCs w:val="21"/>
          <w:highlight w:val="none"/>
        </w:rPr>
      </w:pPr>
      <w:r>
        <w:rPr>
          <w:rFonts w:hint="eastAsia" w:ascii="宋体" w:hAnsi="宋体" w:cs="宋体"/>
          <w:b/>
          <w:szCs w:val="21"/>
          <w:highlight w:val="none"/>
        </w:rPr>
        <w:t>备注：本投标函中承诺的投标有效期应当不少于招标文件中载明的投标有效期，其他</w:t>
      </w:r>
    </w:p>
    <w:p>
      <w:pPr>
        <w:shd w:val="clear"/>
        <w:autoSpaceDE w:val="0"/>
        <w:autoSpaceDN w:val="0"/>
        <w:adjustRightInd w:val="0"/>
        <w:spacing w:line="360" w:lineRule="auto"/>
        <w:ind w:left="420" w:firstLine="310"/>
        <w:rPr>
          <w:rFonts w:ascii="宋体" w:hAnsi="宋体" w:cs="宋体"/>
          <w:b/>
          <w:szCs w:val="21"/>
          <w:highlight w:val="none"/>
        </w:rPr>
      </w:pPr>
      <w:r>
        <w:rPr>
          <w:rFonts w:hint="eastAsia" w:ascii="宋体" w:hAnsi="宋体" w:cs="宋体"/>
          <w:b/>
          <w:szCs w:val="21"/>
          <w:highlight w:val="none"/>
        </w:rPr>
        <w:t xml:space="preserve">内容不得擅自删改，否则视为无效投标。 </w:t>
      </w:r>
    </w:p>
    <w:p>
      <w:pPr>
        <w:shd w:val="clear"/>
        <w:ind w:left="480"/>
        <w:rPr>
          <w:rFonts w:ascii="宋体" w:hAnsi="宋体" w:cs="宋体"/>
          <w:szCs w:val="21"/>
          <w:highlight w:val="none"/>
        </w:rPr>
      </w:pPr>
    </w:p>
    <w:p>
      <w:pPr>
        <w:shd w:val="clear"/>
        <w:adjustRightInd w:val="0"/>
        <w:snapToGrid w:val="0"/>
        <w:spacing w:line="480" w:lineRule="auto"/>
        <w:ind w:firstLine="420" w:firstLineChars="200"/>
        <w:rPr>
          <w:rFonts w:ascii="宋体" w:hAnsi="宋体" w:cs="宋体"/>
          <w:szCs w:val="21"/>
          <w:highlight w:val="none"/>
          <w:u w:val="single"/>
        </w:rPr>
      </w:pPr>
      <w:r>
        <w:rPr>
          <w:rFonts w:hint="eastAsia" w:ascii="宋体" w:hAnsi="宋体" w:cs="宋体"/>
          <w:szCs w:val="21"/>
          <w:highlight w:val="none"/>
        </w:rPr>
        <w:t>投标人名称（加盖公章）</w:t>
      </w:r>
      <w:r>
        <w:rPr>
          <w:rFonts w:hint="eastAsia" w:ascii="宋体" w:hAnsi="宋体" w:cs="宋体"/>
          <w:spacing w:val="4"/>
          <w:szCs w:val="21"/>
          <w:highlight w:val="none"/>
        </w:rPr>
        <w:t>：</w:t>
      </w:r>
      <w:r>
        <w:rPr>
          <w:rFonts w:hint="eastAsia" w:ascii="宋体" w:hAnsi="宋体" w:cs="宋体"/>
          <w:spacing w:val="4"/>
          <w:szCs w:val="21"/>
          <w:highlight w:val="none"/>
          <w:u w:val="single"/>
        </w:rPr>
        <w:t xml:space="preserve">                             </w:t>
      </w:r>
    </w:p>
    <w:p>
      <w:pPr>
        <w:shd w:val="clear"/>
        <w:adjustRightInd w:val="0"/>
        <w:snapToGrid w:val="0"/>
        <w:spacing w:line="480" w:lineRule="auto"/>
        <w:ind w:firstLine="432" w:firstLineChars="206"/>
        <w:rPr>
          <w:rFonts w:ascii="宋体" w:hAnsi="宋体" w:cs="宋体"/>
          <w:spacing w:val="4"/>
          <w:szCs w:val="21"/>
          <w:highlight w:val="none"/>
          <w:u w:val="single"/>
        </w:rPr>
      </w:pPr>
      <w:r>
        <w:rPr>
          <w:rFonts w:hint="eastAsia" w:ascii="宋体" w:hAnsi="宋体" w:cs="宋体"/>
          <w:szCs w:val="21"/>
          <w:highlight w:val="none"/>
        </w:rPr>
        <w:t>法定代表人或投标人授权代表（签名或盖章）：</w:t>
      </w:r>
      <w:r>
        <w:rPr>
          <w:rFonts w:hint="eastAsia" w:ascii="宋体" w:hAnsi="宋体" w:cs="宋体"/>
          <w:szCs w:val="21"/>
          <w:highlight w:val="none"/>
          <w:u w:val="single"/>
        </w:rPr>
        <w:t xml:space="preserve">     </w:t>
      </w:r>
      <w:r>
        <w:rPr>
          <w:rFonts w:hint="eastAsia" w:ascii="宋体" w:hAnsi="宋体" w:cs="宋体"/>
          <w:spacing w:val="4"/>
          <w:szCs w:val="21"/>
          <w:highlight w:val="none"/>
          <w:u w:val="single"/>
        </w:rPr>
        <w:t xml:space="preserve">                </w:t>
      </w:r>
    </w:p>
    <w:p>
      <w:pPr>
        <w:shd w:val="clear"/>
        <w:adjustRightInd w:val="0"/>
        <w:snapToGrid w:val="0"/>
        <w:spacing w:line="480" w:lineRule="auto"/>
        <w:ind w:firstLine="432" w:firstLineChars="206"/>
        <w:rPr>
          <w:rFonts w:ascii="宋体" w:hAnsi="宋体" w:cs="宋体"/>
          <w:spacing w:val="4"/>
          <w:szCs w:val="21"/>
          <w:highlight w:val="none"/>
          <w:u w:val="single"/>
        </w:rPr>
      </w:pPr>
      <w:r>
        <w:rPr>
          <w:rFonts w:hint="eastAsia" w:ascii="宋体" w:hAnsi="宋体" w:cs="宋体"/>
          <w:szCs w:val="21"/>
          <w:highlight w:val="none"/>
        </w:rPr>
        <w:t>电话：</w:t>
      </w:r>
      <w:r>
        <w:rPr>
          <w:rFonts w:hint="eastAsia" w:ascii="宋体" w:hAnsi="宋体" w:cs="宋体"/>
          <w:spacing w:val="4"/>
          <w:szCs w:val="21"/>
          <w:highlight w:val="none"/>
          <w:u w:val="single"/>
        </w:rPr>
        <w:t xml:space="preserve">         </w:t>
      </w:r>
      <w:r>
        <w:rPr>
          <w:rFonts w:hint="eastAsia" w:ascii="宋体" w:hAnsi="宋体" w:cs="宋体"/>
          <w:szCs w:val="21"/>
          <w:highlight w:val="none"/>
        </w:rPr>
        <w:t xml:space="preserve"> 传真：</w:t>
      </w:r>
      <w:r>
        <w:rPr>
          <w:rFonts w:hint="eastAsia" w:ascii="宋体" w:hAnsi="宋体" w:cs="宋体"/>
          <w:spacing w:val="4"/>
          <w:szCs w:val="21"/>
          <w:highlight w:val="none"/>
          <w:u w:val="single"/>
        </w:rPr>
        <w:t xml:space="preserve">         </w:t>
      </w:r>
      <w:r>
        <w:rPr>
          <w:rFonts w:hint="eastAsia" w:ascii="宋体" w:hAnsi="宋体" w:cs="宋体"/>
          <w:szCs w:val="21"/>
          <w:highlight w:val="none"/>
        </w:rPr>
        <w:t xml:space="preserve">     邮编：</w:t>
      </w:r>
      <w:r>
        <w:rPr>
          <w:rFonts w:hint="eastAsia" w:ascii="宋体" w:hAnsi="宋体" w:cs="宋体"/>
          <w:spacing w:val="4"/>
          <w:szCs w:val="21"/>
          <w:highlight w:val="none"/>
          <w:u w:val="single"/>
        </w:rPr>
        <w:t xml:space="preserve">         </w:t>
      </w:r>
    </w:p>
    <w:p>
      <w:pPr>
        <w:shd w:val="clear"/>
        <w:rPr>
          <w:highlight w:val="none"/>
        </w:rPr>
      </w:pPr>
      <w:r>
        <w:rPr>
          <w:rFonts w:hint="eastAsia" w:ascii="宋体" w:hAnsi="宋体" w:cs="宋体"/>
          <w:spacing w:val="4"/>
          <w:szCs w:val="21"/>
          <w:highlight w:val="none"/>
          <w:u w:val="single"/>
        </w:rPr>
        <w:br w:type="page"/>
      </w:r>
    </w:p>
    <w:p>
      <w:pPr>
        <w:numPr>
          <w:ilvl w:val="0"/>
          <w:numId w:val="147"/>
        </w:numPr>
        <w:shd w:val="clear"/>
        <w:spacing w:line="440" w:lineRule="exact"/>
        <w:rPr>
          <w:rFonts w:ascii="宋体" w:hAnsi="宋体" w:cs="宋体"/>
          <w:bCs/>
          <w:szCs w:val="21"/>
          <w:highlight w:val="none"/>
        </w:rPr>
      </w:pPr>
    </w:p>
    <w:p>
      <w:pPr>
        <w:pStyle w:val="5"/>
        <w:shd w:val="clear"/>
        <w:adjustRightInd w:val="0"/>
        <w:snapToGrid w:val="0"/>
        <w:spacing w:before="156" w:beforeLines="50" w:after="156" w:afterLines="50" w:line="360" w:lineRule="auto"/>
        <w:jc w:val="center"/>
        <w:rPr>
          <w:b w:val="0"/>
          <w:bCs w:val="0"/>
          <w:highlight w:val="none"/>
        </w:rPr>
      </w:pPr>
      <w:bookmarkStart w:id="112" w:name="_Toc275865606"/>
      <w:r>
        <w:rPr>
          <w:rFonts w:hint="eastAsia"/>
          <w:b w:val="0"/>
          <w:bCs w:val="0"/>
          <w:highlight w:val="none"/>
        </w:rPr>
        <w:t>投标人资格声明函</w:t>
      </w:r>
    </w:p>
    <w:p>
      <w:pPr>
        <w:shd w:val="clear"/>
        <w:rPr>
          <w:rFonts w:ascii="宋体" w:hAnsi="宋体" w:cs="宋体"/>
          <w:b/>
          <w:szCs w:val="21"/>
          <w:highlight w:val="none"/>
        </w:rPr>
      </w:pPr>
      <w:r>
        <w:rPr>
          <w:rFonts w:hint="eastAsia" w:ascii="宋体" w:hAnsi="宋体" w:cs="宋体"/>
          <w:b/>
          <w:szCs w:val="21"/>
          <w:highlight w:val="none"/>
        </w:rPr>
        <w:t>广东必鼎工程项目管理有限公司：</w:t>
      </w:r>
    </w:p>
    <w:p>
      <w:pPr>
        <w:shd w:val="clear"/>
        <w:snapToGrid w:val="0"/>
        <w:spacing w:before="156" w:beforeLines="50" w:line="360" w:lineRule="auto"/>
        <w:ind w:firstLine="424" w:firstLineChars="202"/>
        <w:rPr>
          <w:rFonts w:ascii="宋体" w:hAnsi="宋体" w:cs="宋体"/>
          <w:szCs w:val="21"/>
          <w:highlight w:val="none"/>
        </w:rPr>
      </w:pPr>
      <w:r>
        <w:rPr>
          <w:rFonts w:hint="eastAsia" w:ascii="宋体" w:hAnsi="宋体" w:cs="宋体"/>
          <w:szCs w:val="21"/>
          <w:highlight w:val="none"/>
        </w:rPr>
        <w:t>关于贵公司</w:t>
      </w:r>
      <w:r>
        <w:rPr>
          <w:rFonts w:hint="eastAsia" w:ascii="宋体" w:hAnsi="宋体" w:cs="宋体"/>
          <w:szCs w:val="21"/>
          <w:highlight w:val="none"/>
          <w:u w:val="single"/>
        </w:rPr>
        <w:t>　　　</w:t>
      </w:r>
      <w:r>
        <w:rPr>
          <w:rFonts w:hint="eastAsia" w:ascii="宋体" w:hAnsi="宋体" w:cs="宋体"/>
          <w:szCs w:val="21"/>
          <w:highlight w:val="none"/>
        </w:rPr>
        <w:t>年</w:t>
      </w:r>
      <w:r>
        <w:rPr>
          <w:rFonts w:hint="eastAsia" w:ascii="宋体" w:hAnsi="宋体" w:cs="宋体"/>
          <w:szCs w:val="21"/>
          <w:highlight w:val="none"/>
          <w:u w:val="single"/>
        </w:rPr>
        <w:t>　　</w:t>
      </w:r>
      <w:r>
        <w:rPr>
          <w:rFonts w:hint="eastAsia" w:ascii="宋体" w:hAnsi="宋体" w:cs="宋体"/>
          <w:szCs w:val="21"/>
          <w:highlight w:val="none"/>
        </w:rPr>
        <w:t>月</w:t>
      </w:r>
      <w:r>
        <w:rPr>
          <w:rFonts w:hint="eastAsia" w:ascii="宋体" w:hAnsi="宋体" w:cs="宋体"/>
          <w:szCs w:val="21"/>
          <w:highlight w:val="none"/>
          <w:u w:val="single"/>
        </w:rPr>
        <w:t>　　</w:t>
      </w:r>
      <w:r>
        <w:rPr>
          <w:rFonts w:hint="eastAsia" w:ascii="宋体" w:hAnsi="宋体" w:cs="宋体"/>
          <w:szCs w:val="21"/>
          <w:highlight w:val="none"/>
        </w:rPr>
        <w:t>日发布</w:t>
      </w:r>
      <w:r>
        <w:rPr>
          <w:rFonts w:hint="eastAsia" w:ascii="宋体" w:hAnsi="宋体" w:cs="宋体"/>
          <w:szCs w:val="21"/>
          <w:highlight w:val="none"/>
          <w:u w:val="single"/>
        </w:rPr>
        <w:t xml:space="preserve">                  </w:t>
      </w:r>
      <w:r>
        <w:rPr>
          <w:rFonts w:hint="eastAsia" w:ascii="宋体" w:hAnsi="宋体" w:cs="宋体"/>
          <w:szCs w:val="21"/>
          <w:highlight w:val="none"/>
        </w:rPr>
        <w:t>项目（项目编号：BDGZ2023024）的采购公告，本公司（企业）愿意参加投标，并声明：</w:t>
      </w:r>
    </w:p>
    <w:p>
      <w:pPr>
        <w:numPr>
          <w:ilvl w:val="0"/>
          <w:numId w:val="149"/>
        </w:numPr>
        <w:shd w:val="clear"/>
        <w:adjustRightInd w:val="0"/>
        <w:snapToGrid w:val="0"/>
        <w:spacing w:line="360" w:lineRule="auto"/>
        <w:ind w:left="567" w:hanging="567"/>
        <w:rPr>
          <w:rFonts w:ascii="宋体" w:hAnsi="宋体" w:cs="宋体"/>
          <w:szCs w:val="21"/>
          <w:highlight w:val="none"/>
        </w:rPr>
      </w:pPr>
      <w:r>
        <w:rPr>
          <w:rFonts w:hint="eastAsia" w:ascii="宋体" w:hAnsi="宋体" w:cs="宋体"/>
          <w:szCs w:val="21"/>
          <w:highlight w:val="none"/>
        </w:rPr>
        <w:t>本公司（企业）具备以下条件：</w:t>
      </w:r>
    </w:p>
    <w:p>
      <w:pPr>
        <w:shd w:val="clear"/>
        <w:adjustRightInd w:val="0"/>
        <w:snapToGrid w:val="0"/>
        <w:spacing w:line="360" w:lineRule="auto"/>
        <w:ind w:firstLine="424" w:firstLineChars="202"/>
        <w:rPr>
          <w:rFonts w:ascii="宋体" w:hAnsi="宋体" w:cs="宋体"/>
          <w:szCs w:val="21"/>
          <w:highlight w:val="none"/>
        </w:rPr>
      </w:pPr>
      <w:r>
        <w:rPr>
          <w:rFonts w:hint="eastAsia" w:ascii="宋体" w:hAnsi="宋体" w:cs="宋体"/>
          <w:szCs w:val="21"/>
          <w:highlight w:val="none"/>
        </w:rPr>
        <w:t>（1）具有独立承担民事责任的能力；</w:t>
      </w:r>
    </w:p>
    <w:p>
      <w:pPr>
        <w:shd w:val="clear"/>
        <w:adjustRightInd w:val="0"/>
        <w:snapToGrid w:val="0"/>
        <w:spacing w:line="360" w:lineRule="auto"/>
        <w:ind w:firstLine="424" w:firstLineChars="202"/>
        <w:rPr>
          <w:rFonts w:ascii="宋体" w:hAnsi="宋体" w:cs="宋体"/>
          <w:szCs w:val="21"/>
          <w:highlight w:val="none"/>
        </w:rPr>
      </w:pPr>
      <w:r>
        <w:rPr>
          <w:rFonts w:hint="eastAsia" w:ascii="宋体" w:hAnsi="宋体" w:cs="宋体"/>
          <w:szCs w:val="21"/>
          <w:highlight w:val="none"/>
        </w:rPr>
        <w:t>（2）具有良好的商业信誉和健全的财务会计制度；</w:t>
      </w:r>
    </w:p>
    <w:p>
      <w:pPr>
        <w:shd w:val="clear"/>
        <w:adjustRightInd w:val="0"/>
        <w:snapToGrid w:val="0"/>
        <w:spacing w:line="360" w:lineRule="auto"/>
        <w:ind w:firstLine="424" w:firstLineChars="202"/>
        <w:rPr>
          <w:rFonts w:ascii="宋体" w:hAnsi="宋体" w:cs="宋体"/>
          <w:szCs w:val="21"/>
          <w:highlight w:val="none"/>
        </w:rPr>
      </w:pPr>
      <w:r>
        <w:rPr>
          <w:rFonts w:hint="eastAsia" w:ascii="宋体" w:hAnsi="宋体" w:cs="宋体"/>
          <w:szCs w:val="21"/>
          <w:highlight w:val="none"/>
        </w:rPr>
        <w:t>（3）具有履行合同所必需的设备和专业技术能力；</w:t>
      </w:r>
    </w:p>
    <w:p>
      <w:pPr>
        <w:shd w:val="clear"/>
        <w:adjustRightInd w:val="0"/>
        <w:snapToGrid w:val="0"/>
        <w:spacing w:line="360" w:lineRule="auto"/>
        <w:ind w:firstLine="424" w:firstLineChars="202"/>
        <w:rPr>
          <w:rFonts w:ascii="宋体" w:hAnsi="宋体" w:cs="宋体"/>
          <w:szCs w:val="21"/>
          <w:highlight w:val="none"/>
        </w:rPr>
      </w:pPr>
      <w:r>
        <w:rPr>
          <w:rFonts w:hint="eastAsia" w:ascii="宋体" w:hAnsi="宋体" w:cs="宋体"/>
          <w:szCs w:val="21"/>
          <w:highlight w:val="none"/>
        </w:rPr>
        <w:t>（4）有依法缴纳税收和社会保障资金的良好记录；</w:t>
      </w:r>
    </w:p>
    <w:p>
      <w:pPr>
        <w:shd w:val="clear"/>
        <w:adjustRightInd w:val="0"/>
        <w:snapToGrid w:val="0"/>
        <w:spacing w:line="360" w:lineRule="auto"/>
        <w:ind w:firstLine="424" w:firstLineChars="202"/>
        <w:rPr>
          <w:rFonts w:ascii="宋体" w:hAnsi="宋体" w:cs="宋体"/>
          <w:szCs w:val="21"/>
          <w:highlight w:val="none"/>
        </w:rPr>
      </w:pPr>
      <w:r>
        <w:rPr>
          <w:rFonts w:hint="eastAsia" w:ascii="宋体" w:hAnsi="宋体" w:cs="宋体"/>
          <w:szCs w:val="21"/>
          <w:highlight w:val="none"/>
        </w:rPr>
        <w:t>（5）参与本项目采购活动前三年内，在经营活动中没有重大违法记录；</w:t>
      </w:r>
    </w:p>
    <w:p>
      <w:pPr>
        <w:shd w:val="clear"/>
        <w:adjustRightInd w:val="0"/>
        <w:snapToGrid w:val="0"/>
        <w:spacing w:line="360" w:lineRule="auto"/>
        <w:ind w:firstLine="424" w:firstLineChars="202"/>
        <w:rPr>
          <w:rFonts w:ascii="宋体" w:hAnsi="宋体" w:cs="宋体"/>
          <w:szCs w:val="21"/>
          <w:highlight w:val="none"/>
        </w:rPr>
      </w:pPr>
      <w:r>
        <w:rPr>
          <w:rFonts w:hint="eastAsia" w:ascii="宋体" w:hAnsi="宋体" w:cs="宋体"/>
          <w:szCs w:val="21"/>
          <w:highlight w:val="none"/>
        </w:rPr>
        <w:t>（6）法律、行政法规规定的其他条件。</w:t>
      </w:r>
    </w:p>
    <w:p>
      <w:pPr>
        <w:numPr>
          <w:ilvl w:val="0"/>
          <w:numId w:val="149"/>
        </w:numPr>
        <w:shd w:val="clear"/>
        <w:adjustRightInd w:val="0"/>
        <w:snapToGrid w:val="0"/>
        <w:spacing w:line="360" w:lineRule="auto"/>
        <w:ind w:left="567" w:hanging="567"/>
        <w:rPr>
          <w:rFonts w:ascii="宋体" w:hAnsi="宋体" w:cs="宋体"/>
          <w:szCs w:val="21"/>
          <w:highlight w:val="none"/>
        </w:rPr>
      </w:pPr>
      <w:r>
        <w:rPr>
          <w:rFonts w:hint="eastAsia" w:ascii="宋体" w:hAnsi="宋体" w:cs="宋体"/>
          <w:szCs w:val="21"/>
          <w:highlight w:val="none"/>
        </w:rPr>
        <w:t>我方承诺单位负责人为同一人或者存在直接控股、管理关系的不同供应商，不得同时参加本采购项目投标。</w:t>
      </w:r>
    </w:p>
    <w:p>
      <w:pPr>
        <w:numPr>
          <w:ilvl w:val="0"/>
          <w:numId w:val="149"/>
        </w:numPr>
        <w:shd w:val="clear"/>
        <w:adjustRightInd w:val="0"/>
        <w:snapToGrid w:val="0"/>
        <w:spacing w:line="360" w:lineRule="auto"/>
        <w:ind w:left="567" w:hanging="567"/>
        <w:rPr>
          <w:rFonts w:ascii="宋体" w:hAnsi="宋体" w:cs="宋体"/>
          <w:szCs w:val="21"/>
          <w:highlight w:val="none"/>
        </w:rPr>
      </w:pPr>
      <w:r>
        <w:rPr>
          <w:rFonts w:hint="eastAsia" w:ascii="宋体" w:hAnsi="宋体" w:cs="宋体"/>
          <w:szCs w:val="21"/>
          <w:highlight w:val="none"/>
        </w:rPr>
        <w:t>为本项目提供整体设计、规范编制或者项目管理、监理、检测等服务的供应商，不得再参与本项目投标。</w:t>
      </w:r>
    </w:p>
    <w:p>
      <w:pPr>
        <w:numPr>
          <w:ilvl w:val="0"/>
          <w:numId w:val="149"/>
        </w:numPr>
        <w:shd w:val="clear"/>
        <w:adjustRightInd w:val="0"/>
        <w:snapToGrid w:val="0"/>
        <w:spacing w:line="360" w:lineRule="auto"/>
        <w:ind w:left="567" w:hanging="567"/>
        <w:rPr>
          <w:rFonts w:ascii="宋体" w:hAnsi="宋体" w:cs="宋体"/>
          <w:szCs w:val="21"/>
          <w:highlight w:val="none"/>
        </w:rPr>
      </w:pPr>
      <w:r>
        <w:rPr>
          <w:rFonts w:hint="eastAsia" w:ascii="宋体" w:hAnsi="宋体" w:cs="宋体"/>
          <w:szCs w:val="21"/>
          <w:highlight w:val="none"/>
        </w:rPr>
        <w:t>本公司（企业）具有履行合同所必需的设备和专业技术能力，且本公司（企业）参加本项目采购活动前3年内在经营活动中没有重大违法记录。否则，由此所造成的损失、不良后果及法律责任，一律由我公司（企业）承担。</w:t>
      </w:r>
    </w:p>
    <w:p>
      <w:pPr>
        <w:shd w:val="clear"/>
        <w:adjustRightInd w:val="0"/>
        <w:snapToGrid w:val="0"/>
        <w:spacing w:line="360" w:lineRule="auto"/>
        <w:ind w:firstLine="424" w:firstLineChars="202"/>
        <w:rPr>
          <w:rFonts w:ascii="宋体" w:hAnsi="宋体" w:cs="宋体"/>
          <w:szCs w:val="21"/>
          <w:highlight w:val="none"/>
        </w:rPr>
      </w:pPr>
      <w:r>
        <w:rPr>
          <w:rFonts w:hint="eastAsia" w:ascii="宋体" w:hAnsi="宋体" w:cs="宋体"/>
          <w:szCs w:val="21"/>
          <w:highlight w:val="none"/>
        </w:rPr>
        <w:t>本次招标采购活动中，如有违法、违规、弄虚作假行为，所造成的损失、不良后果及法律责任，一律由我公司（企业）承担。</w:t>
      </w:r>
    </w:p>
    <w:p>
      <w:pPr>
        <w:shd w:val="clear"/>
        <w:spacing w:line="360" w:lineRule="auto"/>
        <w:ind w:firstLine="420"/>
        <w:rPr>
          <w:rFonts w:ascii="宋体" w:hAnsi="宋体" w:cs="宋体"/>
          <w:szCs w:val="21"/>
          <w:highlight w:val="none"/>
        </w:rPr>
      </w:pPr>
      <w:r>
        <w:rPr>
          <w:rFonts w:hint="eastAsia" w:ascii="宋体" w:hAnsi="宋体" w:cs="宋体"/>
          <w:szCs w:val="21"/>
          <w:highlight w:val="none"/>
        </w:rPr>
        <w:t>特此声明！</w:t>
      </w:r>
    </w:p>
    <w:p>
      <w:pPr>
        <w:shd w:val="clear"/>
        <w:spacing w:line="360" w:lineRule="auto"/>
        <w:ind w:firstLine="843" w:firstLineChars="400"/>
        <w:rPr>
          <w:rFonts w:ascii="宋体" w:hAnsi="宋体" w:cs="宋体"/>
          <w:szCs w:val="21"/>
          <w:highlight w:val="none"/>
        </w:rPr>
      </w:pPr>
      <w:r>
        <w:rPr>
          <w:rFonts w:hint="eastAsia" w:ascii="宋体" w:hAnsi="宋体" w:cs="宋体"/>
          <w:b/>
          <w:szCs w:val="21"/>
          <w:highlight w:val="none"/>
        </w:rPr>
        <w:t>备注：本投标人资格声明函内容不得擅自删改，否则视为无效投标。</w:t>
      </w:r>
    </w:p>
    <w:p>
      <w:pPr>
        <w:shd w:val="clear"/>
        <w:spacing w:line="360" w:lineRule="auto"/>
        <w:rPr>
          <w:rFonts w:ascii="宋体" w:hAnsi="宋体" w:cs="宋体"/>
          <w:szCs w:val="21"/>
          <w:highlight w:val="none"/>
        </w:rPr>
      </w:pPr>
    </w:p>
    <w:p>
      <w:pPr>
        <w:shd w:val="clear"/>
        <w:spacing w:line="360" w:lineRule="auto"/>
        <w:ind w:firstLine="420"/>
        <w:rPr>
          <w:rFonts w:ascii="宋体" w:hAnsi="宋体" w:cs="宋体"/>
          <w:szCs w:val="21"/>
          <w:highlight w:val="none"/>
        </w:rPr>
      </w:pPr>
      <w:r>
        <w:rPr>
          <w:rFonts w:hint="eastAsia" w:ascii="宋体" w:hAnsi="宋体" w:cs="宋体"/>
          <w:szCs w:val="21"/>
          <w:highlight w:val="none"/>
        </w:rPr>
        <w:t>单位名称：　　　　　　　　　　　　　　　　法定代表人或投标人授权代表（签名或盖章）：</w:t>
      </w:r>
    </w:p>
    <w:p>
      <w:pPr>
        <w:shd w:val="clear"/>
        <w:spacing w:line="360" w:lineRule="auto"/>
        <w:ind w:firstLine="420"/>
        <w:rPr>
          <w:rFonts w:ascii="宋体" w:hAnsi="宋体" w:cs="宋体"/>
          <w:szCs w:val="21"/>
          <w:highlight w:val="none"/>
        </w:rPr>
      </w:pPr>
      <w:r>
        <w:rPr>
          <w:rFonts w:hint="eastAsia" w:ascii="宋体" w:hAnsi="宋体" w:cs="宋体"/>
          <w:szCs w:val="21"/>
          <w:highlight w:val="none"/>
        </w:rPr>
        <w:t>单位地址：　　　　　　　　　　　　　　　　单位公章：</w:t>
      </w:r>
    </w:p>
    <w:p>
      <w:pPr>
        <w:shd w:val="clear"/>
        <w:spacing w:line="360" w:lineRule="auto"/>
        <w:ind w:firstLine="420"/>
        <w:rPr>
          <w:rFonts w:ascii="宋体" w:hAnsi="宋体" w:cs="宋体"/>
          <w:szCs w:val="21"/>
          <w:highlight w:val="none"/>
        </w:rPr>
      </w:pPr>
      <w:r>
        <w:rPr>
          <w:rFonts w:hint="eastAsia" w:ascii="宋体" w:hAnsi="宋体" w:cs="宋体"/>
          <w:szCs w:val="21"/>
          <w:highlight w:val="none"/>
        </w:rPr>
        <w:t>邮政编码：　　　　　　　　　　　　　　　　日期：</w:t>
      </w:r>
    </w:p>
    <w:p>
      <w:pPr>
        <w:shd w:val="clear"/>
        <w:spacing w:line="360" w:lineRule="auto"/>
        <w:ind w:firstLine="420" w:firstLineChars="200"/>
        <w:rPr>
          <w:rFonts w:ascii="宋体" w:hAnsi="宋体" w:cs="宋体"/>
          <w:szCs w:val="21"/>
          <w:highlight w:val="none"/>
        </w:rPr>
      </w:pPr>
      <w:r>
        <w:rPr>
          <w:rFonts w:hint="eastAsia" w:ascii="宋体" w:hAnsi="宋体" w:cs="宋体"/>
          <w:szCs w:val="21"/>
          <w:highlight w:val="none"/>
        </w:rPr>
        <w:t>联系电话：</w:t>
      </w:r>
    </w:p>
    <w:p>
      <w:pPr>
        <w:shd w:val="clear"/>
        <w:rPr>
          <w:rFonts w:ascii="宋体" w:hAnsi="宋体" w:cs="宋体"/>
          <w:szCs w:val="21"/>
          <w:highlight w:val="none"/>
        </w:rPr>
      </w:pPr>
    </w:p>
    <w:p>
      <w:pPr>
        <w:pStyle w:val="11"/>
        <w:shd w:val="clear"/>
        <w:rPr>
          <w:rFonts w:ascii="宋体" w:hAnsi="宋体" w:cs="宋体"/>
          <w:highlight w:val="none"/>
        </w:rPr>
      </w:pPr>
    </w:p>
    <w:p>
      <w:pPr>
        <w:shd w:val="clear"/>
        <w:rPr>
          <w:rFonts w:ascii="宋体" w:hAnsi="宋体" w:cs="宋体"/>
          <w:szCs w:val="21"/>
          <w:highlight w:val="none"/>
        </w:rPr>
      </w:pPr>
      <w:r>
        <w:rPr>
          <w:rFonts w:hint="eastAsia" w:ascii="宋体" w:hAnsi="宋体" w:cs="宋体"/>
          <w:szCs w:val="21"/>
          <w:highlight w:val="none"/>
        </w:rPr>
        <w:br w:type="page"/>
      </w:r>
    </w:p>
    <w:p>
      <w:pPr>
        <w:shd w:val="clear"/>
        <w:spacing w:line="276" w:lineRule="auto"/>
        <w:rPr>
          <w:rFonts w:ascii="宋体" w:hAnsi="宋体" w:cs="宋体"/>
          <w:szCs w:val="21"/>
          <w:highlight w:val="none"/>
        </w:rPr>
      </w:pPr>
      <w:r>
        <w:rPr>
          <w:rFonts w:hint="eastAsia" w:ascii="宋体" w:hAnsi="宋体" w:cs="宋体"/>
          <w:szCs w:val="21"/>
          <w:highlight w:val="none"/>
        </w:rPr>
        <w:t>附件：</w:t>
      </w:r>
    </w:p>
    <w:p>
      <w:pPr>
        <w:numPr>
          <w:ilvl w:val="0"/>
          <w:numId w:val="150"/>
        </w:numPr>
        <w:shd w:val="clear"/>
        <w:tabs>
          <w:tab w:val="left" w:pos="425"/>
          <w:tab w:val="left" w:pos="1276"/>
        </w:tabs>
        <w:snapToGrid w:val="0"/>
        <w:spacing w:line="360" w:lineRule="auto"/>
        <w:rPr>
          <w:rFonts w:ascii="宋体" w:hAnsi="宋体" w:cs="宋体"/>
          <w:kern w:val="0"/>
          <w:szCs w:val="21"/>
          <w:highlight w:val="none"/>
        </w:rPr>
      </w:pPr>
      <w:r>
        <w:rPr>
          <w:rFonts w:hint="eastAsia" w:ascii="宋体" w:hAnsi="宋体" w:cs="宋体"/>
          <w:kern w:val="0"/>
          <w:szCs w:val="21"/>
          <w:highlight w:val="none"/>
        </w:rPr>
        <w:t>有效的营业执照复印件。</w:t>
      </w:r>
    </w:p>
    <w:p>
      <w:pPr>
        <w:numPr>
          <w:ilvl w:val="0"/>
          <w:numId w:val="150"/>
        </w:numPr>
        <w:shd w:val="clear"/>
        <w:tabs>
          <w:tab w:val="left" w:pos="425"/>
          <w:tab w:val="left" w:pos="1276"/>
        </w:tabs>
        <w:snapToGrid w:val="0"/>
        <w:spacing w:line="360" w:lineRule="auto"/>
        <w:rPr>
          <w:rFonts w:ascii="宋体" w:hAnsi="宋体" w:cs="宋体"/>
          <w:kern w:val="0"/>
          <w:szCs w:val="21"/>
          <w:highlight w:val="none"/>
        </w:rPr>
      </w:pPr>
      <w:r>
        <w:rPr>
          <w:rFonts w:hint="eastAsia" w:ascii="宋体" w:hAnsi="宋体" w:cs="宋体"/>
          <w:bCs/>
          <w:szCs w:val="21"/>
          <w:highlight w:val="none"/>
        </w:rPr>
        <w:t>财务会计制度，</w:t>
      </w:r>
      <w:r>
        <w:rPr>
          <w:rFonts w:hint="eastAsia" w:ascii="宋体" w:hAnsi="宋体" w:cs="宋体"/>
          <w:kern w:val="0"/>
          <w:szCs w:val="21"/>
          <w:highlight w:val="none"/>
        </w:rPr>
        <w:t>须提供下列任一项证明材料：</w:t>
      </w:r>
    </w:p>
    <w:p>
      <w:pPr>
        <w:numPr>
          <w:ilvl w:val="0"/>
          <w:numId w:val="151"/>
        </w:numPr>
        <w:shd w:val="clear"/>
        <w:spacing w:line="360" w:lineRule="auto"/>
        <w:rPr>
          <w:rFonts w:ascii="宋体" w:hAnsi="宋体" w:cs="宋体"/>
          <w:kern w:val="0"/>
          <w:szCs w:val="21"/>
          <w:highlight w:val="none"/>
        </w:rPr>
      </w:pPr>
      <w:r>
        <w:rPr>
          <w:rFonts w:hint="eastAsia" w:ascii="宋体" w:hAnsi="宋体" w:cs="宋体"/>
          <w:kern w:val="0"/>
          <w:szCs w:val="21"/>
          <w:highlight w:val="none"/>
        </w:rPr>
        <w:t>提供2021年度或2022年度经第三方会计师事务所出具财务报告（包括资产负债表、利润表、现金流量表、所有者权益变动表及其附注），并能清晰显示第三方会计师事务所的印章和注册会计师签字盖章，且能反映审计结论(要求：审计报告由第三方会计师事务所或其它合法审计机构出具，须包含会计师事务所或审计机构的盖章页)。</w:t>
      </w:r>
    </w:p>
    <w:p>
      <w:pPr>
        <w:numPr>
          <w:ilvl w:val="0"/>
          <w:numId w:val="151"/>
        </w:numPr>
        <w:shd w:val="clear"/>
        <w:spacing w:line="360" w:lineRule="auto"/>
        <w:rPr>
          <w:rFonts w:ascii="宋体" w:hAnsi="宋体" w:cs="宋体"/>
          <w:kern w:val="0"/>
          <w:szCs w:val="21"/>
          <w:highlight w:val="none"/>
        </w:rPr>
      </w:pPr>
      <w:r>
        <w:rPr>
          <w:rFonts w:hint="eastAsia" w:ascii="宋体" w:hAnsi="宋体" w:cs="宋体"/>
          <w:kern w:val="0"/>
          <w:szCs w:val="21"/>
          <w:highlight w:val="none"/>
        </w:rPr>
        <w:t>基本开户银行出具的资信证明【要求：提供投标截止之日前6个月内（含投标截止时间当月）任意一个月出具的资信证明。如资信证明不能体现基本开户账户的，应另附开户许可证（无开户许可证的，可提供由银行开具的《基本存款账户信息》（公户账户主档）或其他能反应资信证明是基本开户银行出具的证明材料】。</w:t>
      </w:r>
    </w:p>
    <w:p>
      <w:pPr>
        <w:numPr>
          <w:ilvl w:val="0"/>
          <w:numId w:val="150"/>
        </w:numPr>
        <w:shd w:val="clear"/>
        <w:spacing w:line="360" w:lineRule="auto"/>
        <w:rPr>
          <w:rFonts w:ascii="宋体" w:hAnsi="宋体" w:cs="宋体"/>
          <w:szCs w:val="21"/>
          <w:highlight w:val="none"/>
        </w:rPr>
      </w:pPr>
      <w:r>
        <w:rPr>
          <w:rFonts w:hint="eastAsia" w:ascii="宋体" w:hAnsi="宋体" w:cs="宋体"/>
          <w:bCs/>
          <w:szCs w:val="21"/>
          <w:highlight w:val="none"/>
        </w:rPr>
        <w:t>提供投标截止日前6个月内（含投标截止时间当月）任意1个月依法缴纳税收和社会保障资金的相关材料。如依法免税或不需要缴纳社会保障资金的，提供相应证明材料</w:t>
      </w:r>
      <w:r>
        <w:rPr>
          <w:rFonts w:hint="eastAsia" w:ascii="宋体" w:hAnsi="宋体" w:cs="宋体"/>
          <w:kern w:val="0"/>
          <w:szCs w:val="21"/>
          <w:highlight w:val="none"/>
        </w:rPr>
        <w:t>。</w:t>
      </w:r>
    </w:p>
    <w:p>
      <w:pPr>
        <w:numPr>
          <w:ilvl w:val="0"/>
          <w:numId w:val="150"/>
        </w:numPr>
        <w:shd w:val="clear"/>
        <w:spacing w:line="360" w:lineRule="auto"/>
        <w:rPr>
          <w:rFonts w:ascii="宋体" w:hAnsi="宋体" w:cs="宋体"/>
          <w:szCs w:val="21"/>
          <w:highlight w:val="none"/>
        </w:rPr>
      </w:pPr>
      <w:r>
        <w:rPr>
          <w:rFonts w:hint="eastAsia" w:ascii="宋体" w:hAnsi="宋体" w:cs="宋体"/>
          <w:bCs/>
          <w:szCs w:val="21"/>
          <w:highlight w:val="none"/>
        </w:rPr>
        <w:t>未被列入“信用中国”网站(www.creditchina.gov.cn)“记录失信被执行人或重大税收违法案件当事人名单或政府采购严重违法失信行为”记录名单。【以招标代理机构于投标截止日当天在“信用中国”网站（www.creditchina.gov.cn）查询结果为准，如相关失信记录已失效，供应商需提供相关证明资料】。</w:t>
      </w:r>
    </w:p>
    <w:p>
      <w:pPr>
        <w:pStyle w:val="12"/>
        <w:shd w:val="clear"/>
        <w:rPr>
          <w:rFonts w:hint="default" w:cs="宋体"/>
          <w:color w:val="auto"/>
          <w:sz w:val="21"/>
          <w:szCs w:val="21"/>
          <w:highlight w:val="none"/>
        </w:rPr>
        <w:sectPr>
          <w:pgSz w:w="11906" w:h="16838"/>
          <w:pgMar w:top="1440" w:right="1286" w:bottom="1440" w:left="1440" w:header="851" w:footer="992" w:gutter="0"/>
          <w:cols w:space="720" w:num="1"/>
          <w:docGrid w:type="lines" w:linePitch="312" w:charSpace="0"/>
        </w:sectPr>
      </w:pPr>
    </w:p>
    <w:bookmarkEnd w:id="112"/>
    <w:p>
      <w:pPr>
        <w:numPr>
          <w:ilvl w:val="0"/>
          <w:numId w:val="147"/>
        </w:numPr>
        <w:shd w:val="clear"/>
        <w:spacing w:line="440" w:lineRule="exact"/>
        <w:rPr>
          <w:rFonts w:ascii="宋体" w:hAnsi="宋体" w:cs="宋体"/>
          <w:szCs w:val="21"/>
          <w:highlight w:val="none"/>
        </w:rPr>
      </w:pPr>
      <w:r>
        <w:rPr>
          <w:rFonts w:hint="eastAsia" w:ascii="宋体" w:hAnsi="宋体" w:cs="宋体"/>
          <w:szCs w:val="21"/>
          <w:highlight w:val="none"/>
        </w:rPr>
        <w:t xml:space="preserve">    </w:t>
      </w:r>
    </w:p>
    <w:p>
      <w:pPr>
        <w:pStyle w:val="5"/>
        <w:shd w:val="clear"/>
        <w:adjustRightInd w:val="0"/>
        <w:snapToGrid w:val="0"/>
        <w:spacing w:before="156" w:beforeLines="50" w:after="156" w:afterLines="50" w:line="360" w:lineRule="auto"/>
        <w:jc w:val="center"/>
        <w:rPr>
          <w:b w:val="0"/>
          <w:bCs w:val="0"/>
          <w:highlight w:val="none"/>
        </w:rPr>
      </w:pPr>
      <w:bookmarkStart w:id="113" w:name="_Toc50737329"/>
      <w:bookmarkStart w:id="114" w:name="_Toc275865607"/>
      <w:bookmarkStart w:id="115" w:name="_Toc50737297"/>
      <w:bookmarkStart w:id="116" w:name="_Toc50736477"/>
      <w:bookmarkStart w:id="117" w:name="_Toc52165081"/>
      <w:bookmarkStart w:id="118" w:name="_Toc50737296"/>
      <w:bookmarkStart w:id="119" w:name="_Toc50737328"/>
      <w:bookmarkStart w:id="120" w:name="_Toc52165080"/>
      <w:bookmarkStart w:id="121" w:name="_Toc50736476"/>
      <w:bookmarkStart w:id="122" w:name="_Toc50691034"/>
      <w:r>
        <w:rPr>
          <w:rFonts w:hint="eastAsia"/>
          <w:b w:val="0"/>
          <w:bCs w:val="0"/>
          <w:highlight w:val="none"/>
        </w:rPr>
        <w:t>法定代表人授权委托书</w:t>
      </w:r>
      <w:bookmarkEnd w:id="113"/>
      <w:bookmarkEnd w:id="114"/>
      <w:bookmarkEnd w:id="115"/>
      <w:bookmarkEnd w:id="116"/>
      <w:bookmarkEnd w:id="117"/>
    </w:p>
    <w:p>
      <w:pPr>
        <w:shd w:val="clear"/>
        <w:spacing w:line="360" w:lineRule="auto"/>
        <w:ind w:firstLine="420" w:firstLineChars="200"/>
        <w:rPr>
          <w:rFonts w:ascii="宋体" w:hAnsi="宋体" w:cs="宋体"/>
          <w:szCs w:val="21"/>
          <w:highlight w:val="none"/>
        </w:rPr>
      </w:pPr>
      <w:r>
        <w:rPr>
          <w:rFonts w:hint="eastAsia" w:ascii="宋体" w:hAnsi="宋体" w:cs="宋体"/>
          <w:szCs w:val="21"/>
          <w:highlight w:val="none"/>
        </w:rPr>
        <w:t>本授权委托书声明：注册于</w:t>
      </w:r>
      <w:r>
        <w:rPr>
          <w:rFonts w:hint="eastAsia" w:ascii="宋体" w:hAnsi="宋体" w:cs="宋体"/>
          <w:szCs w:val="21"/>
          <w:highlight w:val="none"/>
          <w:u w:val="single"/>
        </w:rPr>
        <w:t xml:space="preserve"> （投标人地址）  </w:t>
      </w:r>
      <w:r>
        <w:rPr>
          <w:rFonts w:hint="eastAsia" w:ascii="宋体" w:hAnsi="宋体" w:cs="宋体"/>
          <w:szCs w:val="21"/>
          <w:highlight w:val="none"/>
        </w:rPr>
        <w:t>的</w:t>
      </w:r>
      <w:r>
        <w:rPr>
          <w:rFonts w:hint="eastAsia" w:ascii="宋体" w:hAnsi="宋体" w:cs="宋体"/>
          <w:szCs w:val="21"/>
          <w:highlight w:val="none"/>
          <w:u w:val="single"/>
        </w:rPr>
        <w:t xml:space="preserve">  （投标人名称）    </w:t>
      </w:r>
      <w:r>
        <w:rPr>
          <w:rFonts w:hint="eastAsia" w:ascii="宋体" w:hAnsi="宋体" w:cs="宋体"/>
          <w:szCs w:val="21"/>
          <w:highlight w:val="none"/>
        </w:rPr>
        <w:t>在下面签名的</w:t>
      </w:r>
      <w:r>
        <w:rPr>
          <w:rFonts w:hint="eastAsia" w:ascii="宋体" w:hAnsi="宋体" w:cs="宋体"/>
          <w:szCs w:val="21"/>
          <w:highlight w:val="none"/>
          <w:u w:val="single"/>
        </w:rPr>
        <w:t>（法定代表人姓名、职务）</w:t>
      </w:r>
      <w:r>
        <w:rPr>
          <w:rFonts w:hint="eastAsia" w:ascii="宋体" w:hAnsi="宋体" w:cs="宋体"/>
          <w:szCs w:val="21"/>
          <w:highlight w:val="none"/>
        </w:rPr>
        <w:t>在此授权</w:t>
      </w:r>
      <w:r>
        <w:rPr>
          <w:rFonts w:hint="eastAsia" w:ascii="宋体" w:hAnsi="宋体" w:cs="宋体"/>
          <w:szCs w:val="21"/>
          <w:highlight w:val="none"/>
          <w:u w:val="single"/>
        </w:rPr>
        <w:t>（被授权人姓名、职务）</w:t>
      </w:r>
      <w:r>
        <w:rPr>
          <w:rFonts w:hint="eastAsia" w:ascii="宋体" w:hAnsi="宋体" w:cs="宋体"/>
          <w:szCs w:val="21"/>
          <w:highlight w:val="none"/>
        </w:rPr>
        <w:t>作为我公司的合法代理人，就</w:t>
      </w:r>
      <w:r>
        <w:rPr>
          <w:rFonts w:hint="eastAsia" w:ascii="宋体" w:hAnsi="宋体" w:cs="宋体"/>
          <w:szCs w:val="21"/>
          <w:highlight w:val="none"/>
          <w:u w:val="single"/>
        </w:rPr>
        <w:t>（项目名称、项目编号</w:t>
      </w:r>
      <w:r>
        <w:rPr>
          <w:rFonts w:hint="eastAsia" w:ascii="宋体" w:hAnsi="宋体" w:cs="宋体"/>
          <w:szCs w:val="21"/>
          <w:highlight w:val="none"/>
        </w:rPr>
        <w:t>）的招投标活动，提交投标文件及采购合同的签订、执行、完成和售后服务，作为投标人代表以我方的名义处理一切与之有关的事务。</w:t>
      </w:r>
    </w:p>
    <w:p>
      <w:pPr>
        <w:shd w:val="clear"/>
        <w:spacing w:line="360" w:lineRule="auto"/>
        <w:ind w:firstLine="420" w:firstLineChars="200"/>
        <w:rPr>
          <w:rFonts w:ascii="宋体" w:hAnsi="宋体" w:cs="宋体"/>
          <w:szCs w:val="21"/>
          <w:highlight w:val="none"/>
        </w:rPr>
      </w:pPr>
      <w:r>
        <w:rPr>
          <w:rFonts w:hint="eastAsia" w:ascii="宋体" w:hAnsi="宋体" w:cs="宋体"/>
          <w:szCs w:val="21"/>
          <w:highlight w:val="none"/>
        </w:rPr>
        <w:t>被授权人（投标人授权代表）无转委托权限。</w:t>
      </w:r>
    </w:p>
    <w:p>
      <w:pPr>
        <w:shd w:val="clear"/>
        <w:spacing w:line="360" w:lineRule="auto"/>
        <w:ind w:firstLine="420" w:firstLineChars="200"/>
        <w:rPr>
          <w:rFonts w:ascii="宋体" w:hAnsi="宋体" w:cs="宋体"/>
          <w:szCs w:val="21"/>
          <w:highlight w:val="none"/>
        </w:rPr>
      </w:pPr>
      <w:r>
        <w:rPr>
          <w:rFonts w:hint="eastAsia" w:ascii="宋体" w:hAnsi="宋体" w:cs="宋体"/>
          <w:szCs w:val="21"/>
          <w:highlight w:val="none"/>
        </w:rPr>
        <w:t>本授权书自法定代表人签名之日起生效，特此声明。</w:t>
      </w:r>
    </w:p>
    <w:p>
      <w:pPr>
        <w:shd w:val="clear"/>
        <w:spacing w:line="480" w:lineRule="auto"/>
        <w:ind w:left="2" w:leftChars="1" w:firstLine="1365" w:firstLineChars="650"/>
        <w:rPr>
          <w:rFonts w:ascii="宋体" w:hAnsi="宋体" w:cs="宋体"/>
          <w:szCs w:val="21"/>
          <w:highlight w:val="none"/>
        </w:rPr>
      </w:pPr>
    </w:p>
    <w:p>
      <w:pPr>
        <w:shd w:val="clear"/>
        <w:spacing w:line="360" w:lineRule="auto"/>
        <w:rPr>
          <w:rFonts w:ascii="宋体" w:hAnsi="宋体" w:cs="宋体"/>
          <w:b/>
          <w:szCs w:val="21"/>
          <w:highlight w:val="none"/>
        </w:rPr>
      </w:pPr>
      <w:r>
        <w:rPr>
          <w:rFonts w:hint="eastAsia" w:ascii="宋体" w:hAnsi="宋体" w:cs="宋体"/>
          <w:b/>
          <w:szCs w:val="21"/>
          <w:highlight w:val="none"/>
        </w:rPr>
        <w:t>随附《法定代表人证明》</w:t>
      </w:r>
    </w:p>
    <w:p>
      <w:pPr>
        <w:shd w:val="clear"/>
        <w:spacing w:line="360" w:lineRule="auto"/>
        <w:rPr>
          <w:rFonts w:ascii="宋体" w:hAnsi="宋体" w:cs="宋体"/>
          <w:szCs w:val="21"/>
          <w:highlight w:val="none"/>
        </w:rPr>
      </w:pPr>
    </w:p>
    <w:p>
      <w:pPr>
        <w:shd w:val="clear"/>
        <w:spacing w:line="360" w:lineRule="auto"/>
        <w:rPr>
          <w:rFonts w:ascii="宋体" w:hAnsi="宋体" w:cs="宋体"/>
          <w:szCs w:val="21"/>
          <w:highlight w:val="none"/>
        </w:rPr>
      </w:pPr>
      <w:r>
        <w:rPr>
          <w:rFonts w:hint="eastAsia" w:ascii="宋体" w:hAnsi="宋体" w:cs="宋体"/>
          <w:szCs w:val="21"/>
          <w:highlight w:val="none"/>
        </w:rPr>
        <w:t>投标人名称（加盖公章）：</w:t>
      </w:r>
    </w:p>
    <w:p>
      <w:pPr>
        <w:shd w:val="clear"/>
        <w:spacing w:line="360" w:lineRule="auto"/>
        <w:rPr>
          <w:rFonts w:ascii="宋体" w:hAnsi="宋体" w:cs="宋体"/>
          <w:szCs w:val="21"/>
          <w:highlight w:val="none"/>
        </w:rPr>
      </w:pPr>
      <w:r>
        <w:rPr>
          <w:rFonts w:hint="eastAsia" w:ascii="宋体" w:hAnsi="宋体" w:cs="宋体"/>
          <w:szCs w:val="21"/>
          <w:highlight w:val="none"/>
        </w:rPr>
        <w:t>地      址：</w:t>
      </w:r>
    </w:p>
    <w:p>
      <w:pPr>
        <w:shd w:val="clear"/>
        <w:tabs>
          <w:tab w:val="left" w:pos="3780"/>
        </w:tabs>
        <w:spacing w:line="360" w:lineRule="auto"/>
        <w:rPr>
          <w:rFonts w:ascii="宋体" w:hAnsi="宋体" w:cs="宋体"/>
          <w:szCs w:val="21"/>
          <w:highlight w:val="none"/>
        </w:rPr>
      </w:pPr>
      <w:r>
        <w:rPr>
          <w:rFonts w:hint="eastAsia" w:ascii="宋体" w:hAnsi="宋体" w:cs="宋体"/>
          <w:szCs w:val="21"/>
          <w:highlight w:val="none"/>
        </w:rPr>
        <w:t xml:space="preserve">法定代表人（签名或盖章）：                         </w:t>
      </w:r>
    </w:p>
    <w:p>
      <w:pPr>
        <w:shd w:val="clear"/>
        <w:tabs>
          <w:tab w:val="left" w:pos="3780"/>
        </w:tabs>
        <w:spacing w:line="360" w:lineRule="auto"/>
        <w:rPr>
          <w:rFonts w:ascii="宋体" w:hAnsi="宋体" w:cs="宋体"/>
          <w:szCs w:val="21"/>
          <w:highlight w:val="none"/>
        </w:rPr>
      </w:pPr>
      <w:r>
        <w:rPr>
          <w:rFonts w:hint="eastAsia" w:ascii="宋体" w:hAnsi="宋体" w:cs="宋体"/>
          <w:szCs w:val="21"/>
          <w:highlight w:val="none"/>
        </w:rPr>
        <w:t>签名日期：</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p>
    <w:p>
      <w:pPr>
        <w:shd w:val="clear"/>
        <w:spacing w:line="360" w:lineRule="auto"/>
        <w:ind w:left="1159" w:leftChars="552" w:firstLine="2261"/>
        <w:rPr>
          <w:rFonts w:ascii="宋体" w:hAnsi="宋体" w:cs="宋体"/>
          <w:szCs w:val="21"/>
          <w:highlight w:val="none"/>
        </w:rPr>
      </w:pPr>
    </w:p>
    <w:p>
      <w:pPr>
        <w:shd w:val="clear"/>
        <w:spacing w:line="360" w:lineRule="auto"/>
        <w:rPr>
          <w:rFonts w:ascii="宋体" w:hAnsi="宋体" w:cs="宋体"/>
          <w:szCs w:val="21"/>
          <w:highlight w:val="none"/>
        </w:rPr>
      </w:pPr>
      <w:r>
        <w:rPr>
          <w:rFonts w:hint="eastAsia" w:ascii="宋体" w:hAnsi="宋体" w:cs="宋体"/>
          <w:szCs w:val="21"/>
          <w:highlight w:val="none"/>
        </w:rPr>
        <mc:AlternateContent>
          <mc:Choice Requires="wps">
            <w:drawing>
              <wp:anchor distT="0" distB="0" distL="114300" distR="114300" simplePos="0" relativeHeight="251661312" behindDoc="0" locked="0" layoutInCell="1" allowOverlap="1">
                <wp:simplePos x="0" y="0"/>
                <wp:positionH relativeFrom="column">
                  <wp:posOffset>3124200</wp:posOffset>
                </wp:positionH>
                <wp:positionV relativeFrom="paragraph">
                  <wp:posOffset>217170</wp:posOffset>
                </wp:positionV>
                <wp:extent cx="2781300" cy="1639570"/>
                <wp:effectExtent l="4445" t="4445" r="8255" b="6985"/>
                <wp:wrapNone/>
                <wp:docPr id="8" name="矩形 8"/>
                <wp:cNvGraphicFramePr/>
                <a:graphic xmlns:a="http://schemas.openxmlformats.org/drawingml/2006/main">
                  <a:graphicData uri="http://schemas.microsoft.com/office/word/2010/wordprocessingShape">
                    <wps:wsp>
                      <wps:cNvSpPr/>
                      <wps:spPr>
                        <a:xfrm>
                          <a:off x="0" y="0"/>
                          <a:ext cx="2781300" cy="16395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1260" w:firstLineChars="600"/>
                            </w:pPr>
                            <w:r>
                              <w:rPr>
                                <w:rFonts w:hint="eastAsia"/>
                              </w:rPr>
                              <w:t>被授权人（授权代表）</w:t>
                            </w:r>
                          </w:p>
                          <w:p>
                            <w:pPr>
                              <w:ind w:firstLine="1050" w:firstLineChars="500"/>
                            </w:pPr>
                            <w:r>
                              <w:rPr>
                                <w:rFonts w:hint="eastAsia"/>
                              </w:rPr>
                              <w:t>居民身份证复印件粘贴处</w:t>
                            </w:r>
                          </w:p>
                          <w:p>
                            <w:pPr>
                              <w:ind w:firstLine="1050" w:firstLineChars="500"/>
                            </w:pPr>
                          </w:p>
                          <w:p>
                            <w:pPr>
                              <w:ind w:firstLine="1050" w:firstLineChars="500"/>
                            </w:pPr>
                            <w:r>
                              <w:rPr>
                                <w:rFonts w:hint="eastAsia"/>
                              </w:rPr>
                              <w:t xml:space="preserve">       （反面</w:t>
                            </w:r>
                            <w:r>
                              <w:t>）</w:t>
                            </w:r>
                          </w:p>
                          <w:p/>
                        </w:txbxContent>
                      </wps:txbx>
                      <wps:bodyPr upright="1"/>
                    </wps:wsp>
                  </a:graphicData>
                </a:graphic>
              </wp:anchor>
            </w:drawing>
          </mc:Choice>
          <mc:Fallback>
            <w:pict>
              <v:rect id="_x0000_s1026" o:spid="_x0000_s1026" o:spt="1" style="position:absolute;left:0pt;margin-left:246pt;margin-top:17.1pt;height:129.1pt;width:219pt;z-index:251661312;mso-width-relative:page;mso-height-relative:page;" fillcolor="#FFFFFF" filled="t" stroked="t" coordsize="21600,21600" o:gfxdata="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WVOnF2AAAAAoBAAAPAAAAAAAAAAEAIAAAACIA&#10;AABkcnMvZG93bnJldi54bWxQSwECFAAUAAAACACHTuJAiI7iwgkCAAA4BAAADgAAAAAAAAABACAA&#10;AAAnAQAAZHJzL2Uyb0RvYy54bWxQSwUGAAAAAAYABgBZAQAAogUAAAAA&#10;">
                <v:fill on="t" focussize="0,0"/>
                <v:stroke color="#000000" joinstyle="miter"/>
                <v:imagedata o:title=""/>
                <o:lock v:ext="edit" aspectratio="f"/>
                <v:textbox>
                  <w:txbxContent>
                    <w:p>
                      <w:pPr>
                        <w:ind w:firstLine="1260" w:firstLineChars="600"/>
                      </w:pPr>
                      <w:r>
                        <w:rPr>
                          <w:rFonts w:hint="eastAsia"/>
                        </w:rPr>
                        <w:t>被授权人（授权代表）</w:t>
                      </w:r>
                    </w:p>
                    <w:p>
                      <w:pPr>
                        <w:ind w:firstLine="1050" w:firstLineChars="500"/>
                      </w:pPr>
                      <w:r>
                        <w:rPr>
                          <w:rFonts w:hint="eastAsia"/>
                        </w:rPr>
                        <w:t>居民身份证复印件粘贴处</w:t>
                      </w:r>
                    </w:p>
                    <w:p>
                      <w:pPr>
                        <w:ind w:firstLine="1050" w:firstLineChars="500"/>
                      </w:pPr>
                    </w:p>
                    <w:p>
                      <w:pPr>
                        <w:ind w:firstLine="1050" w:firstLineChars="500"/>
                      </w:pPr>
                      <w:r>
                        <w:rPr>
                          <w:rFonts w:hint="eastAsia"/>
                        </w:rPr>
                        <w:t xml:space="preserve">       （反面</w:t>
                      </w:r>
                      <w:r>
                        <w:t>）</w:t>
                      </w:r>
                    </w:p>
                    <w:p/>
                  </w:txbxContent>
                </v:textbox>
              </v:rect>
            </w:pict>
          </mc:Fallback>
        </mc:AlternateContent>
      </w:r>
      <w:r>
        <w:rPr>
          <w:rFonts w:hint="eastAsia" w:ascii="宋体" w:hAnsi="宋体" w:cs="宋体"/>
          <w:szCs w:val="21"/>
          <w:highlight w:val="none"/>
        </w:rPr>
        <mc:AlternateContent>
          <mc:Choice Requires="wps">
            <w:drawing>
              <wp:anchor distT="0" distB="0" distL="114300" distR="114300" simplePos="0" relativeHeight="251660288" behindDoc="0" locked="0" layoutInCell="1" allowOverlap="1">
                <wp:simplePos x="0" y="0"/>
                <wp:positionH relativeFrom="column">
                  <wp:posOffset>142875</wp:posOffset>
                </wp:positionH>
                <wp:positionV relativeFrom="paragraph">
                  <wp:posOffset>217170</wp:posOffset>
                </wp:positionV>
                <wp:extent cx="2781300" cy="1639570"/>
                <wp:effectExtent l="4445" t="4445" r="8255" b="6985"/>
                <wp:wrapNone/>
                <wp:docPr id="1" name="矩形 1"/>
                <wp:cNvGraphicFramePr/>
                <a:graphic xmlns:a="http://schemas.openxmlformats.org/drawingml/2006/main">
                  <a:graphicData uri="http://schemas.microsoft.com/office/word/2010/wordprocessingShape">
                    <wps:wsp>
                      <wps:cNvSpPr/>
                      <wps:spPr>
                        <a:xfrm>
                          <a:off x="0" y="0"/>
                          <a:ext cx="2781300" cy="16395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1260" w:firstLineChars="600"/>
                            </w:pPr>
                            <w:r>
                              <w:rPr>
                                <w:rFonts w:hint="eastAsia"/>
                              </w:rPr>
                              <w:t>被授权人（授权代表）</w:t>
                            </w:r>
                          </w:p>
                          <w:p>
                            <w:pPr>
                              <w:ind w:firstLine="1050" w:firstLineChars="500"/>
                            </w:pPr>
                            <w:r>
                              <w:rPr>
                                <w:rFonts w:hint="eastAsia"/>
                              </w:rPr>
                              <w:t>居民身份证复印件粘贴处</w:t>
                            </w:r>
                          </w:p>
                          <w:p/>
                          <w:p>
                            <w:pPr>
                              <w:jc w:val="center"/>
                            </w:pPr>
                            <w:r>
                              <w:rPr>
                                <w:rFonts w:hint="eastAsia"/>
                              </w:rPr>
                              <w:t>（正面</w:t>
                            </w:r>
                            <w:r>
                              <w:t>）</w:t>
                            </w:r>
                          </w:p>
                        </w:txbxContent>
                      </wps:txbx>
                      <wps:bodyPr upright="1"/>
                    </wps:wsp>
                  </a:graphicData>
                </a:graphic>
              </wp:anchor>
            </w:drawing>
          </mc:Choice>
          <mc:Fallback>
            <w:pict>
              <v:rect id="_x0000_s1026" o:spid="_x0000_s1026" o:spt="1" style="position:absolute;left:0pt;margin-left:11.25pt;margin-top:17.1pt;height:129.1pt;width:219pt;z-index:251660288;mso-width-relative:page;mso-height-relative:page;" fillcolor="#FFFFFF" filled="t" stroked="t" coordsize="21600,21600" o:gfxdata="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pKmp7XAAAACQEAAA8AAAAAAAAAAQAgAAAAIgAA&#10;AGRycy9kb3ducmV2LnhtbFBLAQIUABQAAAAIAIdO4kDdxxIFCQIAADgEAAAOAAAAAAAAAAEAIAAA&#10;ACYBAABkcnMvZTJvRG9jLnhtbFBLBQYAAAAABgAGAFkBAAChBQAAAAA=&#10;">
                <v:fill on="t" focussize="0,0"/>
                <v:stroke color="#000000" joinstyle="miter"/>
                <v:imagedata o:title=""/>
                <o:lock v:ext="edit" aspectratio="f"/>
                <v:textbox>
                  <w:txbxContent>
                    <w:p>
                      <w:pPr>
                        <w:ind w:firstLine="1260" w:firstLineChars="600"/>
                      </w:pPr>
                      <w:r>
                        <w:rPr>
                          <w:rFonts w:hint="eastAsia"/>
                        </w:rPr>
                        <w:t>被授权人（授权代表）</w:t>
                      </w:r>
                    </w:p>
                    <w:p>
                      <w:pPr>
                        <w:ind w:firstLine="1050" w:firstLineChars="500"/>
                      </w:pPr>
                      <w:r>
                        <w:rPr>
                          <w:rFonts w:hint="eastAsia"/>
                        </w:rPr>
                        <w:t>居民身份证复印件粘贴处</w:t>
                      </w:r>
                    </w:p>
                    <w:p/>
                    <w:p>
                      <w:pPr>
                        <w:jc w:val="center"/>
                      </w:pPr>
                      <w:r>
                        <w:rPr>
                          <w:rFonts w:hint="eastAsia"/>
                        </w:rPr>
                        <w:t>（正面</w:t>
                      </w:r>
                      <w:r>
                        <w:t>）</w:t>
                      </w:r>
                    </w:p>
                  </w:txbxContent>
                </v:textbox>
              </v:rect>
            </w:pict>
          </mc:Fallback>
        </mc:AlternateContent>
      </w:r>
    </w:p>
    <w:p>
      <w:pPr>
        <w:shd w:val="clear"/>
        <w:spacing w:line="360" w:lineRule="auto"/>
        <w:rPr>
          <w:rFonts w:ascii="宋体" w:hAnsi="宋体" w:cs="宋体"/>
          <w:szCs w:val="21"/>
          <w:highlight w:val="none"/>
        </w:rPr>
      </w:pPr>
    </w:p>
    <w:p>
      <w:pPr>
        <w:shd w:val="clear"/>
        <w:spacing w:line="360" w:lineRule="auto"/>
        <w:rPr>
          <w:rFonts w:ascii="宋体" w:hAnsi="宋体" w:cs="宋体"/>
          <w:szCs w:val="21"/>
          <w:highlight w:val="none"/>
        </w:rPr>
      </w:pPr>
    </w:p>
    <w:p>
      <w:pPr>
        <w:shd w:val="clear"/>
        <w:spacing w:line="360" w:lineRule="auto"/>
        <w:rPr>
          <w:rFonts w:ascii="宋体" w:hAnsi="宋体" w:cs="宋体"/>
          <w:szCs w:val="21"/>
          <w:highlight w:val="none"/>
        </w:rPr>
      </w:pPr>
    </w:p>
    <w:p>
      <w:pPr>
        <w:shd w:val="clear"/>
        <w:spacing w:line="360" w:lineRule="auto"/>
        <w:rPr>
          <w:rFonts w:ascii="宋体" w:hAnsi="宋体" w:cs="宋体"/>
          <w:szCs w:val="21"/>
          <w:highlight w:val="none"/>
        </w:rPr>
      </w:pPr>
    </w:p>
    <w:p>
      <w:pPr>
        <w:shd w:val="clear"/>
        <w:spacing w:line="360" w:lineRule="auto"/>
        <w:rPr>
          <w:rFonts w:ascii="宋体" w:hAnsi="宋体" w:cs="宋体"/>
          <w:szCs w:val="21"/>
          <w:highlight w:val="none"/>
        </w:rPr>
      </w:pPr>
    </w:p>
    <w:p>
      <w:pPr>
        <w:shd w:val="clear"/>
        <w:spacing w:line="360" w:lineRule="auto"/>
        <w:rPr>
          <w:rFonts w:ascii="宋体" w:hAnsi="宋体" w:cs="宋体"/>
          <w:szCs w:val="21"/>
          <w:highlight w:val="none"/>
        </w:rPr>
      </w:pPr>
    </w:p>
    <w:p>
      <w:pPr>
        <w:shd w:val="clear"/>
        <w:spacing w:line="360" w:lineRule="auto"/>
        <w:rPr>
          <w:rFonts w:ascii="宋体" w:hAnsi="宋体" w:cs="宋体"/>
          <w:szCs w:val="21"/>
          <w:highlight w:val="none"/>
        </w:rPr>
      </w:pPr>
    </w:p>
    <w:p>
      <w:pPr>
        <w:shd w:val="clear"/>
        <w:spacing w:line="440" w:lineRule="exact"/>
        <w:rPr>
          <w:rFonts w:ascii="宋体" w:hAnsi="宋体" w:cs="宋体"/>
          <w:szCs w:val="21"/>
          <w:highlight w:val="none"/>
        </w:rPr>
        <w:sectPr>
          <w:pgSz w:w="11906" w:h="16838"/>
          <w:pgMar w:top="1440" w:right="1286" w:bottom="1440" w:left="1440" w:header="851" w:footer="992" w:gutter="0"/>
          <w:cols w:space="720" w:num="1"/>
          <w:docGrid w:type="lines" w:linePitch="312" w:charSpace="0"/>
        </w:sectPr>
      </w:pPr>
      <w:bookmarkStart w:id="123" w:name="_Toc226217114"/>
    </w:p>
    <w:bookmarkEnd w:id="123"/>
    <w:p>
      <w:pPr>
        <w:numPr>
          <w:ilvl w:val="0"/>
          <w:numId w:val="147"/>
        </w:numPr>
        <w:shd w:val="clear"/>
        <w:spacing w:line="440" w:lineRule="exact"/>
        <w:rPr>
          <w:rFonts w:ascii="宋体" w:hAnsi="宋体" w:cs="宋体"/>
          <w:szCs w:val="21"/>
          <w:highlight w:val="none"/>
        </w:rPr>
      </w:pPr>
    </w:p>
    <w:p>
      <w:pPr>
        <w:pStyle w:val="5"/>
        <w:shd w:val="clear"/>
        <w:adjustRightInd w:val="0"/>
        <w:snapToGrid w:val="0"/>
        <w:spacing w:before="156" w:beforeLines="50" w:after="156" w:afterLines="50" w:line="360" w:lineRule="auto"/>
        <w:jc w:val="center"/>
        <w:rPr>
          <w:b w:val="0"/>
          <w:bCs w:val="0"/>
          <w:highlight w:val="none"/>
        </w:rPr>
      </w:pPr>
      <w:bookmarkStart w:id="124" w:name="_Toc275865608"/>
      <w:r>
        <w:rPr>
          <w:rFonts w:hint="eastAsia"/>
          <w:b w:val="0"/>
          <w:bCs w:val="0"/>
          <w:highlight w:val="none"/>
        </w:rPr>
        <w:t>法定代表人证明书</w:t>
      </w:r>
      <w:bookmarkEnd w:id="118"/>
      <w:bookmarkEnd w:id="119"/>
      <w:bookmarkEnd w:id="120"/>
      <w:bookmarkEnd w:id="121"/>
      <w:bookmarkEnd w:id="122"/>
      <w:bookmarkEnd w:id="124"/>
    </w:p>
    <w:p>
      <w:pPr>
        <w:shd w:val="clear"/>
        <w:tabs>
          <w:tab w:val="left" w:pos="900"/>
        </w:tabs>
        <w:spacing w:line="480" w:lineRule="auto"/>
        <w:ind w:firstLine="945" w:firstLineChars="450"/>
        <w:rPr>
          <w:rFonts w:ascii="宋体" w:hAnsi="宋体" w:cs="宋体"/>
          <w:szCs w:val="21"/>
          <w:highlight w:val="none"/>
        </w:rPr>
      </w:pPr>
      <w:r>
        <w:rPr>
          <w:rFonts w:hint="eastAsia" w:ascii="宋体" w:hAnsi="宋体" w:cs="宋体"/>
          <w:szCs w:val="21"/>
          <w:highlight w:val="none"/>
        </w:rPr>
        <w:t>______________同志，现任我单位</w:t>
      </w:r>
      <w:r>
        <w:rPr>
          <w:rFonts w:hint="eastAsia" w:ascii="宋体" w:hAnsi="宋体" w:cs="宋体"/>
          <w:szCs w:val="21"/>
          <w:highlight w:val="none"/>
          <w:u w:val="single"/>
        </w:rPr>
        <w:t xml:space="preserve">         </w:t>
      </w:r>
      <w:r>
        <w:rPr>
          <w:rFonts w:hint="eastAsia" w:ascii="宋体" w:hAnsi="宋体" w:cs="宋体"/>
          <w:szCs w:val="21"/>
          <w:highlight w:val="none"/>
        </w:rPr>
        <w:t>职务，为法定代表人，特此证明。</w:t>
      </w:r>
    </w:p>
    <w:p>
      <w:pPr>
        <w:shd w:val="clear"/>
        <w:spacing w:line="480" w:lineRule="auto"/>
        <w:ind w:firstLine="420" w:firstLineChars="200"/>
        <w:rPr>
          <w:rFonts w:ascii="宋体" w:hAnsi="宋体" w:cs="宋体"/>
          <w:szCs w:val="21"/>
          <w:highlight w:val="none"/>
        </w:rPr>
      </w:pPr>
      <w:r>
        <w:rPr>
          <w:rFonts w:hint="eastAsia" w:ascii="宋体" w:hAnsi="宋体" w:cs="宋体"/>
          <w:szCs w:val="21"/>
          <w:highlight w:val="none"/>
        </w:rPr>
        <w:t>有效日期与本公司投标文件中标注的投标有效期相同。签发日期：</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 xml:space="preserve">日             </w:t>
      </w:r>
    </w:p>
    <w:p>
      <w:pPr>
        <w:shd w:val="clear"/>
        <w:spacing w:line="480" w:lineRule="auto"/>
        <w:ind w:firstLine="420" w:firstLineChars="200"/>
        <w:rPr>
          <w:rFonts w:ascii="宋体" w:hAnsi="宋体" w:cs="宋体"/>
          <w:szCs w:val="21"/>
          <w:highlight w:val="none"/>
        </w:rPr>
      </w:pPr>
      <w:r>
        <w:rPr>
          <w:rFonts w:hint="eastAsia" w:ascii="宋体" w:hAnsi="宋体" w:cs="宋体"/>
          <w:szCs w:val="21"/>
          <w:highlight w:val="none"/>
        </w:rPr>
        <w:t>附：</w:t>
      </w:r>
    </w:p>
    <w:p>
      <w:pPr>
        <w:shd w:val="clear"/>
        <w:spacing w:line="480" w:lineRule="auto"/>
        <w:ind w:firstLine="840" w:firstLineChars="400"/>
        <w:rPr>
          <w:rFonts w:ascii="宋体" w:hAnsi="宋体" w:cs="宋体"/>
          <w:szCs w:val="21"/>
          <w:highlight w:val="none"/>
        </w:rPr>
      </w:pPr>
      <w:r>
        <w:rPr>
          <w:rFonts w:hint="eastAsia" w:ascii="宋体" w:hAnsi="宋体" w:cs="宋体"/>
          <w:szCs w:val="21"/>
          <w:highlight w:val="none"/>
        </w:rPr>
        <w:t xml:space="preserve">营业执照（注册号）：                       </w:t>
      </w:r>
    </w:p>
    <w:p>
      <w:pPr>
        <w:shd w:val="clear"/>
        <w:spacing w:line="480" w:lineRule="auto"/>
        <w:ind w:firstLine="840" w:firstLineChars="400"/>
        <w:rPr>
          <w:rFonts w:ascii="宋体" w:hAnsi="宋体" w:cs="宋体"/>
          <w:szCs w:val="21"/>
          <w:highlight w:val="none"/>
        </w:rPr>
      </w:pPr>
      <w:r>
        <w:rPr>
          <w:rFonts w:hint="eastAsia" w:ascii="宋体" w:hAnsi="宋体" w:cs="宋体"/>
          <w:szCs w:val="21"/>
          <w:highlight w:val="none"/>
        </w:rPr>
        <w:t>经济性质：</w:t>
      </w:r>
    </w:p>
    <w:p>
      <w:pPr>
        <w:shd w:val="clear"/>
        <w:spacing w:line="480" w:lineRule="auto"/>
        <w:ind w:firstLine="840" w:firstLineChars="400"/>
        <w:rPr>
          <w:rFonts w:ascii="宋体" w:hAnsi="宋体" w:cs="宋体"/>
          <w:szCs w:val="21"/>
          <w:highlight w:val="none"/>
        </w:rPr>
      </w:pPr>
      <w:r>
        <w:rPr>
          <w:rFonts w:hint="eastAsia" w:ascii="宋体" w:hAnsi="宋体" w:cs="宋体"/>
          <w:szCs w:val="21"/>
          <w:highlight w:val="none"/>
        </w:rPr>
        <w:t>经营范围：</w:t>
      </w:r>
    </w:p>
    <w:p>
      <w:pPr>
        <w:shd w:val="clear"/>
        <w:spacing w:line="480" w:lineRule="auto"/>
        <w:ind w:firstLine="843" w:firstLineChars="400"/>
        <w:rPr>
          <w:rFonts w:ascii="宋体" w:hAnsi="宋体" w:cs="宋体"/>
          <w:szCs w:val="21"/>
          <w:highlight w:val="none"/>
        </w:rPr>
      </w:pPr>
      <w:r>
        <w:rPr>
          <w:rFonts w:hint="eastAsia" w:ascii="宋体" w:hAnsi="宋体" w:cs="宋体"/>
          <w:b/>
          <w:bCs/>
          <w:szCs w:val="21"/>
          <w:highlight w:val="none"/>
        </w:rPr>
        <mc:AlternateContent>
          <mc:Choice Requires="wps">
            <w:drawing>
              <wp:anchor distT="0" distB="0" distL="114300" distR="114300" simplePos="0" relativeHeight="251662336" behindDoc="0" locked="0" layoutInCell="1" allowOverlap="1">
                <wp:simplePos x="0" y="0"/>
                <wp:positionH relativeFrom="column">
                  <wp:posOffset>3528695</wp:posOffset>
                </wp:positionH>
                <wp:positionV relativeFrom="paragraph">
                  <wp:posOffset>243840</wp:posOffset>
                </wp:positionV>
                <wp:extent cx="2743200" cy="1622425"/>
                <wp:effectExtent l="4445" t="4445" r="8255" b="11430"/>
                <wp:wrapNone/>
                <wp:docPr id="2" name="矩形 2"/>
                <wp:cNvGraphicFramePr/>
                <a:graphic xmlns:a="http://schemas.openxmlformats.org/drawingml/2006/main">
                  <a:graphicData uri="http://schemas.microsoft.com/office/word/2010/wordprocessingShape">
                    <wps:wsp>
                      <wps:cNvSpPr/>
                      <wps:spPr>
                        <a:xfrm>
                          <a:off x="0" y="0"/>
                          <a:ext cx="2743200" cy="1622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840" w:firstLineChars="400"/>
                            </w:pPr>
                          </w:p>
                          <w:p>
                            <w:pPr>
                              <w:ind w:firstLine="1680" w:firstLineChars="800"/>
                            </w:pPr>
                            <w:r>
                              <w:rPr>
                                <w:rFonts w:hint="eastAsia"/>
                              </w:rPr>
                              <w:t>法定代表人</w:t>
                            </w:r>
                          </w:p>
                          <w:p>
                            <w:pPr>
                              <w:ind w:firstLine="1050" w:firstLineChars="500"/>
                            </w:pPr>
                            <w:r>
                              <w:rPr>
                                <w:rFonts w:hint="eastAsia"/>
                              </w:rPr>
                              <w:t>居民身份证复印件粘贴处</w:t>
                            </w:r>
                          </w:p>
                          <w:p>
                            <w:pPr>
                              <w:ind w:firstLine="1050" w:firstLineChars="500"/>
                            </w:pPr>
                          </w:p>
                          <w:p>
                            <w:pPr>
                              <w:ind w:firstLine="1050" w:firstLineChars="500"/>
                            </w:pPr>
                            <w:r>
                              <w:rPr>
                                <w:rFonts w:hint="eastAsia"/>
                              </w:rPr>
                              <w:t xml:space="preserve">        （反面</w:t>
                            </w:r>
                            <w:r>
                              <w:t>）</w:t>
                            </w:r>
                          </w:p>
                        </w:txbxContent>
                      </wps:txbx>
                      <wps:bodyPr upright="1"/>
                    </wps:wsp>
                  </a:graphicData>
                </a:graphic>
              </wp:anchor>
            </w:drawing>
          </mc:Choice>
          <mc:Fallback>
            <w:pict>
              <v:rect id="_x0000_s1026" o:spid="_x0000_s1026" o:spt="1" style="position:absolute;left:0pt;margin-left:277.85pt;margin-top:19.2pt;height:127.75pt;width:216pt;z-index:251662336;mso-width-relative:page;mso-height-relative:page;" fillcolor="#FFFFFF" filled="t" stroked="t" coordsize="21600,21600" o:gfxdata="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4xg2D2QAAAAoBAAAPAAAAAAAAAAEAIAAAACIAAABk&#10;cnMvZG93bnJldi54bWxQSwECFAAUAAAACACHTuJAcc+3zQUCAAA4BAAADgAAAAAAAAABACAAAAAo&#10;AQAAZHJzL2Uyb0RvYy54bWxQSwUGAAAAAAYABgBZAQAAnwUAAAAA&#10;">
                <v:fill on="t" focussize="0,0"/>
                <v:stroke color="#000000" joinstyle="miter"/>
                <v:imagedata o:title=""/>
                <o:lock v:ext="edit" aspectratio="f"/>
                <v:textbox>
                  <w:txbxContent>
                    <w:p>
                      <w:pPr>
                        <w:ind w:firstLine="840" w:firstLineChars="400"/>
                      </w:pPr>
                    </w:p>
                    <w:p>
                      <w:pPr>
                        <w:ind w:firstLine="1680" w:firstLineChars="800"/>
                      </w:pPr>
                      <w:r>
                        <w:rPr>
                          <w:rFonts w:hint="eastAsia"/>
                        </w:rPr>
                        <w:t>法定代表人</w:t>
                      </w:r>
                    </w:p>
                    <w:p>
                      <w:pPr>
                        <w:ind w:firstLine="1050" w:firstLineChars="500"/>
                      </w:pPr>
                      <w:r>
                        <w:rPr>
                          <w:rFonts w:hint="eastAsia"/>
                        </w:rPr>
                        <w:t>居民身份证复印件粘贴处</w:t>
                      </w:r>
                    </w:p>
                    <w:p>
                      <w:pPr>
                        <w:ind w:firstLine="1050" w:firstLineChars="500"/>
                      </w:pPr>
                    </w:p>
                    <w:p>
                      <w:pPr>
                        <w:ind w:firstLine="1050" w:firstLineChars="500"/>
                      </w:pPr>
                      <w:r>
                        <w:rPr>
                          <w:rFonts w:hint="eastAsia"/>
                        </w:rPr>
                        <w:t xml:space="preserve">        （反面</w:t>
                      </w:r>
                      <w:r>
                        <w:t>）</w:t>
                      </w:r>
                    </w:p>
                  </w:txbxContent>
                </v:textbox>
              </v:rect>
            </w:pict>
          </mc:Fallback>
        </mc:AlternateContent>
      </w:r>
      <w:r>
        <w:rPr>
          <w:rFonts w:hint="eastAsia" w:ascii="宋体" w:hAnsi="宋体" w:cs="宋体"/>
          <w:szCs w:val="21"/>
          <w:highlight w:val="none"/>
        </w:rPr>
        <mc:AlternateContent>
          <mc:Choice Requires="wps">
            <w:drawing>
              <wp:anchor distT="0" distB="0" distL="114300" distR="114300" simplePos="0" relativeHeight="251659264" behindDoc="0" locked="0" layoutInCell="1" allowOverlap="1">
                <wp:simplePos x="0" y="0"/>
                <wp:positionH relativeFrom="column">
                  <wp:posOffset>575945</wp:posOffset>
                </wp:positionH>
                <wp:positionV relativeFrom="paragraph">
                  <wp:posOffset>243840</wp:posOffset>
                </wp:positionV>
                <wp:extent cx="2743200" cy="1622425"/>
                <wp:effectExtent l="4445" t="4445" r="8255" b="11430"/>
                <wp:wrapNone/>
                <wp:docPr id="4" name="矩形 4"/>
                <wp:cNvGraphicFramePr/>
                <a:graphic xmlns:a="http://schemas.openxmlformats.org/drawingml/2006/main">
                  <a:graphicData uri="http://schemas.microsoft.com/office/word/2010/wordprocessingShape">
                    <wps:wsp>
                      <wps:cNvSpPr/>
                      <wps:spPr>
                        <a:xfrm>
                          <a:off x="0" y="0"/>
                          <a:ext cx="2743200" cy="1622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840" w:firstLineChars="400"/>
                            </w:pPr>
                          </w:p>
                          <w:p>
                            <w:pPr>
                              <w:ind w:firstLine="1680" w:firstLineChars="800"/>
                            </w:pPr>
                            <w:r>
                              <w:rPr>
                                <w:rFonts w:hint="eastAsia"/>
                              </w:rPr>
                              <w:t>法定代表人</w:t>
                            </w:r>
                          </w:p>
                          <w:p>
                            <w:pPr>
                              <w:ind w:firstLine="1050" w:firstLineChars="500"/>
                            </w:pPr>
                            <w:r>
                              <w:rPr>
                                <w:rFonts w:hint="eastAsia"/>
                              </w:rPr>
                              <w:t>居民身份证复印件粘贴处</w:t>
                            </w:r>
                          </w:p>
                          <w:p>
                            <w:pPr>
                              <w:ind w:firstLine="1050" w:firstLineChars="500"/>
                            </w:pPr>
                            <w:r>
                              <w:rPr>
                                <w:rFonts w:hint="eastAsia"/>
                              </w:rPr>
                              <w:t xml:space="preserve"> </w:t>
                            </w:r>
                          </w:p>
                          <w:p>
                            <w:pPr>
                              <w:ind w:firstLine="1050" w:firstLineChars="500"/>
                            </w:pPr>
                            <w:r>
                              <w:t xml:space="preserve">       </w:t>
                            </w:r>
                            <w:r>
                              <w:rPr>
                                <w:rFonts w:hint="eastAsia"/>
                              </w:rPr>
                              <w:t>（正面</w:t>
                            </w:r>
                            <w:r>
                              <w:t>）</w:t>
                            </w:r>
                          </w:p>
                        </w:txbxContent>
                      </wps:txbx>
                      <wps:bodyPr upright="1"/>
                    </wps:wsp>
                  </a:graphicData>
                </a:graphic>
              </wp:anchor>
            </w:drawing>
          </mc:Choice>
          <mc:Fallback>
            <w:pict>
              <v:rect id="_x0000_s1026" o:spid="_x0000_s1026" o:spt="1" style="position:absolute;left:0pt;margin-left:45.35pt;margin-top:19.2pt;height:127.75pt;width:216pt;z-index:251659264;mso-width-relative:page;mso-height-relative:page;" fillcolor="#FFFFFF" filled="t" stroked="t" coordsize="21600,21600" o:gfxdata="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efqovYAAAACQEAAA8AAAAAAAAAAQAgAAAAIgAAAGRy&#10;cy9kb3ducmV2LnhtbFBLAQIUABQAAAAIAIdO4kDSSqdbBQIAADgEAAAOAAAAAAAAAAEAIAAAACcB&#10;AABkcnMvZTJvRG9jLnhtbFBLBQYAAAAABgAGAFkBAACeBQAAAAA=&#10;">
                <v:fill on="t" focussize="0,0"/>
                <v:stroke color="#000000" joinstyle="miter"/>
                <v:imagedata o:title=""/>
                <o:lock v:ext="edit" aspectratio="f"/>
                <v:textbox>
                  <w:txbxContent>
                    <w:p>
                      <w:pPr>
                        <w:ind w:firstLine="840" w:firstLineChars="400"/>
                      </w:pPr>
                    </w:p>
                    <w:p>
                      <w:pPr>
                        <w:ind w:firstLine="1680" w:firstLineChars="800"/>
                      </w:pPr>
                      <w:r>
                        <w:rPr>
                          <w:rFonts w:hint="eastAsia"/>
                        </w:rPr>
                        <w:t>法定代表人</w:t>
                      </w:r>
                    </w:p>
                    <w:p>
                      <w:pPr>
                        <w:ind w:firstLine="1050" w:firstLineChars="500"/>
                      </w:pPr>
                      <w:r>
                        <w:rPr>
                          <w:rFonts w:hint="eastAsia"/>
                        </w:rPr>
                        <w:t>居民身份证复印件粘贴处</w:t>
                      </w:r>
                    </w:p>
                    <w:p>
                      <w:pPr>
                        <w:ind w:firstLine="1050" w:firstLineChars="500"/>
                      </w:pPr>
                      <w:r>
                        <w:rPr>
                          <w:rFonts w:hint="eastAsia"/>
                        </w:rPr>
                        <w:t xml:space="preserve"> </w:t>
                      </w:r>
                    </w:p>
                    <w:p>
                      <w:pPr>
                        <w:ind w:firstLine="1050" w:firstLineChars="500"/>
                      </w:pPr>
                      <w:r>
                        <w:t xml:space="preserve">       </w:t>
                      </w:r>
                      <w:r>
                        <w:rPr>
                          <w:rFonts w:hint="eastAsia"/>
                        </w:rPr>
                        <w:t>（正面</w:t>
                      </w:r>
                      <w:r>
                        <w:t>）</w:t>
                      </w:r>
                    </w:p>
                  </w:txbxContent>
                </v:textbox>
              </v:rect>
            </w:pict>
          </mc:Fallback>
        </mc:AlternateContent>
      </w:r>
    </w:p>
    <w:p>
      <w:pPr>
        <w:shd w:val="clear"/>
        <w:spacing w:line="500" w:lineRule="exact"/>
        <w:rPr>
          <w:rFonts w:ascii="宋体" w:hAnsi="宋体" w:cs="宋体"/>
          <w:b/>
          <w:bCs/>
          <w:szCs w:val="21"/>
          <w:highlight w:val="none"/>
        </w:rPr>
      </w:pPr>
    </w:p>
    <w:p>
      <w:pPr>
        <w:shd w:val="clear"/>
        <w:spacing w:line="500" w:lineRule="exact"/>
        <w:rPr>
          <w:rFonts w:ascii="宋体" w:hAnsi="宋体" w:cs="宋体"/>
          <w:b/>
          <w:bCs/>
          <w:szCs w:val="21"/>
          <w:highlight w:val="none"/>
        </w:rPr>
      </w:pPr>
    </w:p>
    <w:p>
      <w:pPr>
        <w:shd w:val="clear"/>
        <w:spacing w:line="500" w:lineRule="exact"/>
        <w:rPr>
          <w:rFonts w:ascii="宋体" w:hAnsi="宋体" w:cs="宋体"/>
          <w:b/>
          <w:bCs/>
          <w:szCs w:val="21"/>
          <w:highlight w:val="none"/>
        </w:rPr>
      </w:pPr>
    </w:p>
    <w:p>
      <w:pPr>
        <w:shd w:val="clear"/>
        <w:spacing w:line="500" w:lineRule="exact"/>
        <w:rPr>
          <w:rFonts w:ascii="宋体" w:hAnsi="宋体" w:cs="宋体"/>
          <w:b/>
          <w:bCs/>
          <w:szCs w:val="21"/>
          <w:highlight w:val="none"/>
        </w:rPr>
      </w:pPr>
    </w:p>
    <w:p>
      <w:pPr>
        <w:shd w:val="clear"/>
        <w:spacing w:line="500" w:lineRule="exact"/>
        <w:rPr>
          <w:rFonts w:ascii="宋体" w:hAnsi="宋体" w:cs="宋体"/>
          <w:b/>
          <w:bCs/>
          <w:szCs w:val="21"/>
          <w:highlight w:val="none"/>
        </w:rPr>
      </w:pPr>
    </w:p>
    <w:p>
      <w:pPr>
        <w:shd w:val="clear"/>
        <w:spacing w:line="500" w:lineRule="exact"/>
        <w:rPr>
          <w:rFonts w:ascii="宋体" w:hAnsi="宋体" w:cs="宋体"/>
          <w:b/>
          <w:bCs/>
          <w:szCs w:val="21"/>
          <w:highlight w:val="none"/>
        </w:rPr>
      </w:pPr>
    </w:p>
    <w:p>
      <w:pPr>
        <w:shd w:val="clear"/>
        <w:spacing w:line="500" w:lineRule="exact"/>
        <w:rPr>
          <w:rFonts w:ascii="宋体" w:hAnsi="宋体" w:cs="宋体"/>
          <w:b/>
          <w:bCs/>
          <w:szCs w:val="21"/>
          <w:highlight w:val="none"/>
        </w:rPr>
      </w:pPr>
      <w:r>
        <w:rPr>
          <w:rFonts w:hint="eastAsia" w:ascii="宋体" w:hAnsi="宋体" w:cs="宋体"/>
          <w:b/>
          <w:bCs/>
          <w:szCs w:val="21"/>
          <w:highlight w:val="none"/>
        </w:rPr>
        <w:t xml:space="preserve">                         </w:t>
      </w:r>
    </w:p>
    <w:p>
      <w:pPr>
        <w:shd w:val="clear"/>
        <w:spacing w:line="500" w:lineRule="exact"/>
        <w:rPr>
          <w:rFonts w:ascii="宋体" w:hAnsi="宋体" w:cs="宋体"/>
          <w:szCs w:val="21"/>
          <w:highlight w:val="none"/>
        </w:rPr>
      </w:pPr>
      <w:r>
        <w:rPr>
          <w:rFonts w:hint="eastAsia" w:ascii="宋体" w:hAnsi="宋体" w:cs="宋体"/>
          <w:b/>
          <w:bCs/>
          <w:szCs w:val="21"/>
          <w:highlight w:val="none"/>
        </w:rPr>
        <w:t xml:space="preserve">                                           </w:t>
      </w:r>
      <w:r>
        <w:rPr>
          <w:rFonts w:hint="eastAsia" w:ascii="宋体" w:hAnsi="宋体" w:cs="宋体"/>
          <w:szCs w:val="21"/>
          <w:highlight w:val="none"/>
        </w:rPr>
        <w:t>投标人名称(加盖公章)：</w:t>
      </w:r>
    </w:p>
    <w:p>
      <w:pPr>
        <w:shd w:val="clear"/>
        <w:spacing w:line="500" w:lineRule="exact"/>
        <w:rPr>
          <w:rFonts w:ascii="宋体" w:hAnsi="宋体" w:cs="宋体"/>
          <w:szCs w:val="21"/>
          <w:highlight w:val="none"/>
        </w:rPr>
      </w:pPr>
      <w:r>
        <w:rPr>
          <w:rFonts w:hint="eastAsia" w:ascii="宋体" w:hAnsi="宋体" w:cs="宋体"/>
          <w:szCs w:val="21"/>
          <w:highlight w:val="none"/>
        </w:rPr>
        <w:t xml:space="preserve">                                           地址：</w:t>
      </w:r>
    </w:p>
    <w:p>
      <w:pPr>
        <w:shd w:val="clear"/>
        <w:spacing w:line="500" w:lineRule="exact"/>
        <w:rPr>
          <w:rFonts w:ascii="宋体" w:hAnsi="宋体" w:cs="宋体"/>
          <w:b/>
          <w:bCs/>
          <w:szCs w:val="21"/>
          <w:highlight w:val="none"/>
        </w:rPr>
      </w:pPr>
      <w:r>
        <w:rPr>
          <w:rFonts w:hint="eastAsia" w:ascii="宋体" w:hAnsi="宋体" w:cs="宋体"/>
          <w:szCs w:val="21"/>
          <w:highlight w:val="none"/>
        </w:rPr>
        <w:t xml:space="preserve">                                           日期：</w:t>
      </w:r>
    </w:p>
    <w:p>
      <w:pPr>
        <w:numPr>
          <w:ilvl w:val="0"/>
          <w:numId w:val="147"/>
        </w:numPr>
        <w:shd w:val="clear"/>
        <w:spacing w:line="440" w:lineRule="exact"/>
        <w:rPr>
          <w:rFonts w:ascii="宋体" w:hAnsi="宋体" w:cs="宋体"/>
          <w:bCs/>
          <w:szCs w:val="21"/>
          <w:highlight w:val="none"/>
        </w:rPr>
      </w:pPr>
      <w:r>
        <w:rPr>
          <w:rFonts w:hint="eastAsia" w:ascii="宋体" w:hAnsi="宋体" w:cs="宋体"/>
          <w:b/>
          <w:bCs/>
          <w:szCs w:val="21"/>
          <w:highlight w:val="none"/>
        </w:rPr>
        <w:br w:type="page"/>
      </w:r>
      <w:r>
        <w:rPr>
          <w:rFonts w:hint="eastAsia" w:ascii="宋体" w:hAnsi="宋体" w:cs="宋体"/>
          <w:b/>
          <w:bCs/>
          <w:szCs w:val="21"/>
          <w:highlight w:val="none"/>
        </w:rPr>
        <w:t xml:space="preserve">   </w:t>
      </w:r>
    </w:p>
    <w:p>
      <w:pPr>
        <w:pStyle w:val="5"/>
        <w:shd w:val="clear"/>
        <w:adjustRightInd w:val="0"/>
        <w:snapToGrid w:val="0"/>
        <w:spacing w:before="156" w:beforeLines="50" w:after="156" w:afterLines="50" w:line="360" w:lineRule="auto"/>
        <w:jc w:val="center"/>
        <w:rPr>
          <w:b w:val="0"/>
          <w:bCs w:val="0"/>
          <w:highlight w:val="none"/>
        </w:rPr>
      </w:pPr>
      <w:r>
        <w:rPr>
          <w:rFonts w:hint="eastAsia"/>
          <w:b w:val="0"/>
          <w:bCs w:val="0"/>
          <w:highlight w:val="none"/>
        </w:rPr>
        <w:t>开标一览表(报价表)</w:t>
      </w:r>
    </w:p>
    <w:p>
      <w:pPr>
        <w:shd w:val="clear"/>
        <w:tabs>
          <w:tab w:val="left" w:pos="7740"/>
        </w:tabs>
        <w:adjustRightInd w:val="0"/>
        <w:snapToGrid w:val="0"/>
        <w:rPr>
          <w:rFonts w:ascii="宋体" w:hAnsi="宋体" w:cs="宋体"/>
          <w:szCs w:val="21"/>
          <w:highlight w:val="none"/>
        </w:rPr>
      </w:pPr>
      <w:r>
        <w:rPr>
          <w:rFonts w:hint="eastAsia" w:ascii="宋体" w:hAnsi="宋体" w:cs="宋体"/>
          <w:szCs w:val="21"/>
          <w:highlight w:val="none"/>
        </w:rPr>
        <w:t>投标人名称：                                            项目编号：BDGZ2023024</w:t>
      </w:r>
    </w:p>
    <w:tbl>
      <w:tblPr>
        <w:tblStyle w:val="22"/>
        <w:tblpPr w:leftFromText="180" w:rightFromText="180" w:vertAnchor="text" w:horzAnchor="page" w:tblpX="1920" w:tblpY="272"/>
        <w:tblOverlap w:val="never"/>
        <w:tblW w:w="83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6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2028" w:type="dxa"/>
            <w:tcBorders>
              <w:tl2br w:val="nil"/>
              <w:tr2bl w:val="nil"/>
            </w:tcBorders>
            <w:vAlign w:val="center"/>
          </w:tcPr>
          <w:p>
            <w:pPr>
              <w:pStyle w:val="65"/>
              <w:widowControl w:val="0"/>
              <w:pBdr>
                <w:bottom w:val="none" w:color="auto" w:sz="0" w:space="0"/>
                <w:right w:val="none" w:color="auto" w:sz="0" w:space="0"/>
              </w:pBdr>
              <w:shd w:val="clear"/>
              <w:spacing w:before="0" w:beforeAutospacing="0" w:after="0" w:afterAutospacing="0" w:line="360" w:lineRule="auto"/>
              <w:rPr>
                <w:rFonts w:cs="宋体"/>
                <w:bCs/>
                <w:kern w:val="2"/>
                <w:highlight w:val="none"/>
              </w:rPr>
            </w:pPr>
            <w:r>
              <w:rPr>
                <w:rFonts w:hint="eastAsia" w:cs="宋体"/>
                <w:b/>
                <w:highlight w:val="none"/>
              </w:rPr>
              <w:t>采购内容</w:t>
            </w:r>
          </w:p>
        </w:tc>
        <w:tc>
          <w:tcPr>
            <w:tcW w:w="6360" w:type="dxa"/>
            <w:tcBorders>
              <w:tl2br w:val="nil"/>
              <w:tr2bl w:val="nil"/>
            </w:tcBorders>
            <w:vAlign w:val="center"/>
          </w:tcPr>
          <w:p>
            <w:pPr>
              <w:shd w:val="clear"/>
              <w:jc w:val="center"/>
              <w:rPr>
                <w:rFonts w:ascii="宋体" w:hAnsi="宋体" w:cs="宋体"/>
                <w:bCs/>
                <w:szCs w:val="21"/>
                <w:highlight w:val="none"/>
              </w:rPr>
            </w:pPr>
            <w:r>
              <w:rPr>
                <w:rFonts w:hint="eastAsia" w:ascii="宋体" w:hAnsi="宋体" w:cs="宋体"/>
                <w:szCs w:val="21"/>
                <w:highlight w:val="none"/>
              </w:rPr>
              <w:t>千灯湖创投特色小镇核心区物业管理服务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5" w:hRule="atLeast"/>
        </w:trPr>
        <w:tc>
          <w:tcPr>
            <w:tcW w:w="2028" w:type="dxa"/>
            <w:tcBorders>
              <w:tl2br w:val="nil"/>
              <w:tr2bl w:val="nil"/>
            </w:tcBorders>
            <w:vAlign w:val="center"/>
          </w:tcPr>
          <w:p>
            <w:pPr>
              <w:pStyle w:val="65"/>
              <w:widowControl w:val="0"/>
              <w:pBdr>
                <w:bottom w:val="none" w:color="auto" w:sz="0" w:space="0"/>
                <w:right w:val="none" w:color="auto" w:sz="0" w:space="0"/>
              </w:pBdr>
              <w:shd w:val="clear"/>
              <w:spacing w:before="0" w:beforeAutospacing="0" w:after="0" w:afterAutospacing="0" w:line="360" w:lineRule="auto"/>
              <w:rPr>
                <w:rFonts w:cs="宋体"/>
                <w:b/>
                <w:bCs/>
                <w:kern w:val="2"/>
                <w:highlight w:val="none"/>
              </w:rPr>
            </w:pPr>
            <w:r>
              <w:rPr>
                <w:rFonts w:hint="eastAsia" w:cs="宋体"/>
                <w:b/>
                <w:highlight w:val="none"/>
              </w:rPr>
              <w:t>数量</w:t>
            </w:r>
          </w:p>
        </w:tc>
        <w:tc>
          <w:tcPr>
            <w:tcW w:w="6360" w:type="dxa"/>
            <w:tcBorders>
              <w:tl2br w:val="nil"/>
              <w:tr2bl w:val="nil"/>
            </w:tcBorders>
            <w:vAlign w:val="center"/>
          </w:tcPr>
          <w:p>
            <w:pPr>
              <w:shd w:val="clear"/>
              <w:jc w:val="center"/>
              <w:rPr>
                <w:rFonts w:ascii="宋体" w:hAnsi="宋体" w:cs="宋体"/>
                <w:b/>
                <w:bCs/>
                <w:szCs w:val="21"/>
                <w:highlight w:val="none"/>
              </w:rPr>
            </w:pPr>
            <w:r>
              <w:rPr>
                <w:rFonts w:hint="eastAsia" w:ascii="宋体" w:hAnsi="宋体" w:cs="宋体"/>
                <w:szCs w:val="21"/>
                <w:highlight w:val="none"/>
              </w:rPr>
              <w:t>一项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85" w:hRule="atLeast"/>
        </w:trPr>
        <w:tc>
          <w:tcPr>
            <w:tcW w:w="2028" w:type="dxa"/>
            <w:tcBorders>
              <w:tl2br w:val="nil"/>
              <w:tr2bl w:val="nil"/>
            </w:tcBorders>
            <w:vAlign w:val="center"/>
          </w:tcPr>
          <w:p>
            <w:pPr>
              <w:pStyle w:val="65"/>
              <w:widowControl w:val="0"/>
              <w:pBdr>
                <w:bottom w:val="none" w:color="auto" w:sz="0" w:space="0"/>
                <w:right w:val="none" w:color="auto" w:sz="0" w:space="0"/>
              </w:pBdr>
              <w:shd w:val="clear"/>
              <w:spacing w:before="0" w:beforeAutospacing="0" w:after="0" w:afterAutospacing="0" w:line="360" w:lineRule="auto"/>
              <w:rPr>
                <w:rFonts w:cs="宋体"/>
                <w:b/>
                <w:bCs/>
                <w:kern w:val="2"/>
                <w:highlight w:val="none"/>
              </w:rPr>
            </w:pPr>
            <w:r>
              <w:rPr>
                <w:rFonts w:hint="eastAsia" w:cs="宋体"/>
                <w:b/>
                <w:bCs/>
                <w:kern w:val="2"/>
                <w:highlight w:val="none"/>
              </w:rPr>
              <w:t>投标总价</w:t>
            </w:r>
          </w:p>
          <w:p>
            <w:pPr>
              <w:pStyle w:val="65"/>
              <w:widowControl w:val="0"/>
              <w:pBdr>
                <w:bottom w:val="none" w:color="auto" w:sz="0" w:space="0"/>
                <w:right w:val="none" w:color="auto" w:sz="0" w:space="0"/>
              </w:pBdr>
              <w:shd w:val="clear"/>
              <w:spacing w:before="0" w:beforeAutospacing="0" w:after="0" w:afterAutospacing="0" w:line="360" w:lineRule="auto"/>
              <w:rPr>
                <w:rFonts w:cs="宋体"/>
                <w:b/>
                <w:bCs/>
                <w:kern w:val="2"/>
                <w:highlight w:val="none"/>
              </w:rPr>
            </w:pPr>
            <w:r>
              <w:rPr>
                <w:rFonts w:hint="eastAsia" w:cs="宋体"/>
                <w:b/>
                <w:bCs/>
                <w:kern w:val="2"/>
                <w:highlight w:val="none"/>
              </w:rPr>
              <w:t>（2年）</w:t>
            </w:r>
          </w:p>
        </w:tc>
        <w:tc>
          <w:tcPr>
            <w:tcW w:w="6360" w:type="dxa"/>
            <w:tcBorders>
              <w:tl2br w:val="nil"/>
              <w:tr2bl w:val="nil"/>
            </w:tcBorders>
            <w:vAlign w:val="center"/>
          </w:tcPr>
          <w:p>
            <w:pPr>
              <w:shd w:val="clear"/>
              <w:rPr>
                <w:rFonts w:ascii="宋体" w:hAnsi="宋体" w:cs="宋体"/>
                <w:szCs w:val="21"/>
                <w:highlight w:val="none"/>
              </w:rPr>
            </w:pPr>
            <w:r>
              <w:rPr>
                <w:rFonts w:hint="eastAsia" w:ascii="宋体" w:hAnsi="宋体" w:cs="宋体"/>
                <w:szCs w:val="21"/>
                <w:highlight w:val="none"/>
              </w:rPr>
              <w:t>（大写）人民币</w:t>
            </w:r>
            <w:r>
              <w:rPr>
                <w:rFonts w:hint="eastAsia" w:ascii="宋体" w:hAnsi="宋体" w:cs="宋体"/>
                <w:szCs w:val="21"/>
                <w:highlight w:val="none"/>
                <w:u w:val="single"/>
              </w:rPr>
              <w:t xml:space="preserve">                  </w:t>
            </w:r>
            <w:r>
              <w:rPr>
                <w:rFonts w:hint="eastAsia" w:ascii="宋体" w:hAnsi="宋体" w:cs="宋体"/>
                <w:szCs w:val="21"/>
                <w:highlight w:val="none"/>
              </w:rPr>
              <w:t>元整（￥</w:t>
            </w:r>
            <w:r>
              <w:rPr>
                <w:rFonts w:hint="eastAsia" w:ascii="宋体" w:hAnsi="宋体" w:cs="宋体"/>
                <w:szCs w:val="21"/>
                <w:highlight w:val="none"/>
                <w:u w:val="single"/>
              </w:rPr>
              <w:t xml:space="preserve">              </w:t>
            </w:r>
            <w:r>
              <w:rPr>
                <w:rFonts w:hint="eastAsia" w:ascii="宋体" w:hAnsi="宋体" w:cs="宋体"/>
                <w:szCs w:val="21"/>
                <w:highlight w:val="none"/>
              </w:rPr>
              <w:t>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2028" w:type="dxa"/>
            <w:tcBorders>
              <w:tl2br w:val="nil"/>
              <w:tr2bl w:val="nil"/>
            </w:tcBorders>
            <w:vAlign w:val="center"/>
          </w:tcPr>
          <w:p>
            <w:pPr>
              <w:shd w:val="clear"/>
              <w:jc w:val="center"/>
              <w:rPr>
                <w:rFonts w:ascii="宋体" w:hAnsi="宋体" w:cs="宋体"/>
                <w:b/>
                <w:bCs/>
                <w:szCs w:val="21"/>
                <w:highlight w:val="none"/>
              </w:rPr>
            </w:pPr>
            <w:r>
              <w:rPr>
                <w:rFonts w:hint="eastAsia" w:ascii="宋体" w:hAnsi="宋体" w:cs="宋体"/>
                <w:b/>
                <w:bCs/>
                <w:szCs w:val="21"/>
                <w:highlight w:val="none"/>
              </w:rPr>
              <w:t>服务期</w:t>
            </w:r>
          </w:p>
        </w:tc>
        <w:tc>
          <w:tcPr>
            <w:tcW w:w="6360" w:type="dxa"/>
            <w:tcBorders>
              <w:tl2br w:val="nil"/>
              <w:tr2bl w:val="nil"/>
            </w:tcBorders>
            <w:vAlign w:val="center"/>
          </w:tcPr>
          <w:p>
            <w:pPr>
              <w:shd w:val="clear"/>
              <w:jc w:val="center"/>
              <w:rPr>
                <w:rFonts w:ascii="宋体" w:hAnsi="宋体" w:cs="宋体"/>
                <w:bCs/>
                <w:szCs w:val="21"/>
                <w:highlight w:val="none"/>
              </w:rPr>
            </w:pPr>
            <w:r>
              <w:rPr>
                <w:rFonts w:hint="eastAsia" w:ascii="宋体" w:hAnsi="宋体" w:cs="宋体"/>
                <w:szCs w:val="21"/>
                <w:highlight w:val="none"/>
              </w:rPr>
              <w:t>二年（具体服务起始时间以招标人通知为准）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54" w:hRule="atLeast"/>
        </w:trPr>
        <w:tc>
          <w:tcPr>
            <w:tcW w:w="2028" w:type="dxa"/>
            <w:tcBorders>
              <w:tl2br w:val="nil"/>
              <w:tr2bl w:val="nil"/>
            </w:tcBorders>
            <w:vAlign w:val="center"/>
          </w:tcPr>
          <w:p>
            <w:pPr>
              <w:shd w:val="clear"/>
              <w:wordWrap w:val="0"/>
              <w:jc w:val="center"/>
              <w:rPr>
                <w:rFonts w:ascii="宋体" w:hAnsi="宋体" w:cs="宋体"/>
                <w:b/>
                <w:bCs/>
                <w:szCs w:val="21"/>
                <w:highlight w:val="none"/>
              </w:rPr>
            </w:pPr>
            <w:r>
              <w:rPr>
                <w:rFonts w:hint="eastAsia" w:ascii="宋体" w:hAnsi="宋体" w:cs="宋体"/>
                <w:b/>
                <w:bCs/>
                <w:szCs w:val="21"/>
                <w:highlight w:val="none"/>
              </w:rPr>
              <w:t>备注</w:t>
            </w:r>
          </w:p>
        </w:tc>
        <w:tc>
          <w:tcPr>
            <w:tcW w:w="6360" w:type="dxa"/>
            <w:tcBorders>
              <w:tl2br w:val="nil"/>
              <w:tr2bl w:val="nil"/>
            </w:tcBorders>
            <w:vAlign w:val="center"/>
          </w:tcPr>
          <w:p>
            <w:pPr>
              <w:pStyle w:val="43"/>
              <w:shd w:val="clear"/>
              <w:wordWrap w:val="0"/>
              <w:jc w:val="center"/>
              <w:rPr>
                <w:rFonts w:ascii="宋体" w:hAnsi="宋体" w:cs="宋体"/>
                <w:sz w:val="21"/>
                <w:szCs w:val="21"/>
                <w:highlight w:val="none"/>
              </w:rPr>
            </w:pPr>
            <w:r>
              <w:rPr>
                <w:rFonts w:hint="eastAsia" w:ascii="宋体" w:hAnsi="宋体" w:cs="宋体"/>
                <w:b/>
                <w:bCs w:val="0"/>
                <w:sz w:val="21"/>
                <w:szCs w:val="21"/>
                <w:highlight w:val="none"/>
              </w:rPr>
              <w:t>本项目最高限价：人民币</w:t>
            </w:r>
            <w:r>
              <w:rPr>
                <w:rFonts w:hint="eastAsia" w:ascii="宋体" w:hAnsi="宋体" w:cs="宋体"/>
                <w:b/>
                <w:bCs w:val="0"/>
                <w:spacing w:val="0"/>
                <w:kern w:val="2"/>
                <w:sz w:val="21"/>
                <w:szCs w:val="21"/>
                <w:highlight w:val="none"/>
                <w:lang w:eastAsia="zh-CN"/>
              </w:rPr>
              <w:t>7,895,161.64</w:t>
            </w:r>
            <w:r>
              <w:rPr>
                <w:rFonts w:hint="eastAsia" w:ascii="宋体" w:hAnsi="宋体" w:cs="宋体"/>
                <w:b/>
                <w:bCs w:val="0"/>
                <w:sz w:val="21"/>
                <w:szCs w:val="21"/>
                <w:highlight w:val="none"/>
              </w:rPr>
              <w:t>元</w:t>
            </w:r>
            <w:r>
              <w:rPr>
                <w:rFonts w:hint="eastAsia" w:ascii="宋体" w:hAnsi="宋体" w:cs="宋体"/>
                <w:sz w:val="21"/>
                <w:szCs w:val="21"/>
                <w:highlight w:val="none"/>
              </w:rPr>
              <w:t>。</w:t>
            </w:r>
          </w:p>
        </w:tc>
      </w:tr>
    </w:tbl>
    <w:p>
      <w:pPr>
        <w:shd w:val="clear"/>
        <w:spacing w:line="500" w:lineRule="exact"/>
        <w:rPr>
          <w:rFonts w:ascii="宋体" w:hAnsi="宋体" w:cs="宋体"/>
          <w:szCs w:val="21"/>
          <w:highlight w:val="none"/>
        </w:rPr>
      </w:pPr>
    </w:p>
    <w:p>
      <w:pPr>
        <w:shd w:val="clear"/>
        <w:spacing w:line="500" w:lineRule="exact"/>
        <w:rPr>
          <w:rFonts w:ascii="宋体" w:hAnsi="宋体" w:cs="宋体"/>
          <w:szCs w:val="21"/>
          <w:highlight w:val="none"/>
          <w:u w:val="single"/>
        </w:rPr>
      </w:pPr>
      <w:r>
        <w:rPr>
          <w:rFonts w:hint="eastAsia" w:ascii="宋体" w:hAnsi="宋体" w:cs="宋体"/>
          <w:szCs w:val="21"/>
          <w:highlight w:val="none"/>
        </w:rPr>
        <w:t>投标人名称(加盖公章)</w:t>
      </w:r>
      <w:r>
        <w:rPr>
          <w:rFonts w:hint="eastAsia" w:ascii="宋体" w:hAnsi="宋体" w:cs="宋体"/>
          <w:spacing w:val="4"/>
          <w:szCs w:val="21"/>
          <w:highlight w:val="none"/>
        </w:rPr>
        <w:t>：</w:t>
      </w:r>
      <w:r>
        <w:rPr>
          <w:rFonts w:hint="eastAsia" w:ascii="宋体" w:hAnsi="宋体" w:cs="宋体"/>
          <w:spacing w:val="4"/>
          <w:szCs w:val="21"/>
          <w:highlight w:val="none"/>
          <w:u w:val="single"/>
        </w:rPr>
        <w:t xml:space="preserve">                             </w:t>
      </w:r>
    </w:p>
    <w:p>
      <w:pPr>
        <w:shd w:val="clear"/>
        <w:rPr>
          <w:rFonts w:ascii="宋体" w:hAnsi="宋体" w:cs="宋体"/>
          <w:spacing w:val="4"/>
          <w:szCs w:val="21"/>
          <w:highlight w:val="none"/>
        </w:rPr>
      </w:pPr>
    </w:p>
    <w:p>
      <w:pPr>
        <w:shd w:val="clear"/>
        <w:spacing w:line="520" w:lineRule="exact"/>
        <w:rPr>
          <w:rFonts w:ascii="宋体" w:hAnsi="宋体" w:cs="宋体"/>
          <w:spacing w:val="4"/>
          <w:szCs w:val="21"/>
          <w:highlight w:val="none"/>
        </w:rPr>
      </w:pPr>
      <w:r>
        <w:rPr>
          <w:rFonts w:hint="eastAsia" w:ascii="宋体" w:hAnsi="宋体" w:cs="宋体"/>
          <w:szCs w:val="21"/>
          <w:highlight w:val="none"/>
        </w:rPr>
        <w:t>法定代表人或投标人授权代表（签名或盖章）：</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职务：</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日期</w:t>
      </w:r>
      <w:r>
        <w:rPr>
          <w:rFonts w:hint="eastAsia" w:ascii="宋体" w:hAnsi="宋体" w:cs="宋体"/>
          <w:spacing w:val="4"/>
          <w:szCs w:val="21"/>
          <w:highlight w:val="none"/>
          <w:u w:val="single"/>
        </w:rPr>
        <w:t xml:space="preserve">         </w:t>
      </w:r>
    </w:p>
    <w:p>
      <w:pPr>
        <w:shd w:val="clear"/>
        <w:spacing w:line="400" w:lineRule="exact"/>
        <w:rPr>
          <w:rFonts w:ascii="宋体" w:hAnsi="宋体" w:cs="宋体"/>
          <w:b/>
          <w:bCs/>
          <w:szCs w:val="21"/>
          <w:highlight w:val="none"/>
        </w:rPr>
      </w:pPr>
    </w:p>
    <w:p>
      <w:pPr>
        <w:shd w:val="clear"/>
        <w:spacing w:line="400" w:lineRule="exact"/>
        <w:rPr>
          <w:rFonts w:ascii="宋体" w:hAnsi="宋体" w:cs="宋体"/>
          <w:b/>
          <w:bCs/>
          <w:szCs w:val="21"/>
          <w:highlight w:val="none"/>
        </w:rPr>
      </w:pPr>
      <w:r>
        <w:rPr>
          <w:rFonts w:hint="eastAsia" w:ascii="宋体" w:hAnsi="宋体" w:cs="宋体"/>
          <w:b/>
          <w:bCs/>
          <w:szCs w:val="21"/>
          <w:highlight w:val="none"/>
        </w:rPr>
        <w:t>备注：</w:t>
      </w:r>
    </w:p>
    <w:p>
      <w:pPr>
        <w:numPr>
          <w:ilvl w:val="1"/>
          <w:numId w:val="152"/>
        </w:numPr>
        <w:shd w:val="clear"/>
        <w:tabs>
          <w:tab w:val="left" w:pos="360"/>
          <w:tab w:val="clear" w:pos="1620"/>
        </w:tabs>
        <w:snapToGrid w:val="0"/>
        <w:spacing w:line="360" w:lineRule="auto"/>
        <w:ind w:left="360"/>
        <w:rPr>
          <w:rFonts w:ascii="宋体" w:hAnsi="宋体" w:cs="宋体"/>
          <w:b/>
          <w:bCs/>
          <w:szCs w:val="21"/>
          <w:highlight w:val="none"/>
        </w:rPr>
      </w:pPr>
      <w:r>
        <w:rPr>
          <w:rFonts w:hint="eastAsia" w:ascii="宋体" w:hAnsi="宋体" w:cs="宋体"/>
          <w:b/>
          <w:szCs w:val="21"/>
          <w:highlight w:val="none"/>
        </w:rPr>
        <w:t>此表为投标文件的组成部分，须附在正、副本的投标文件中，并另封装一份于开标小信封中。</w:t>
      </w:r>
    </w:p>
    <w:p>
      <w:pPr>
        <w:numPr>
          <w:ilvl w:val="1"/>
          <w:numId w:val="152"/>
        </w:numPr>
        <w:shd w:val="clear"/>
        <w:tabs>
          <w:tab w:val="left" w:pos="360"/>
          <w:tab w:val="clear" w:pos="1620"/>
        </w:tabs>
        <w:snapToGrid w:val="0"/>
        <w:spacing w:line="360" w:lineRule="auto"/>
        <w:ind w:left="360"/>
        <w:rPr>
          <w:rFonts w:ascii="宋体" w:hAnsi="宋体" w:cs="宋体"/>
          <w:b/>
          <w:bCs/>
          <w:szCs w:val="21"/>
          <w:highlight w:val="none"/>
        </w:rPr>
      </w:pPr>
      <w:r>
        <w:rPr>
          <w:rFonts w:hint="eastAsia" w:ascii="宋体" w:hAnsi="宋体" w:cs="宋体"/>
          <w:b/>
          <w:szCs w:val="21"/>
          <w:highlight w:val="none"/>
        </w:rPr>
        <w:t>此表内投标报价为最终价，投标文件内不得含有任何对本报价进行修改的其他说明或资料，否则为无效投标</w:t>
      </w:r>
      <w:r>
        <w:rPr>
          <w:rFonts w:hint="eastAsia" w:ascii="宋体" w:hAnsi="宋体" w:cs="宋体"/>
          <w:b/>
          <w:bCs/>
          <w:szCs w:val="21"/>
          <w:highlight w:val="none"/>
        </w:rPr>
        <w:t>。</w:t>
      </w:r>
    </w:p>
    <w:p>
      <w:pPr>
        <w:numPr>
          <w:ilvl w:val="1"/>
          <w:numId w:val="152"/>
        </w:numPr>
        <w:shd w:val="clear"/>
        <w:tabs>
          <w:tab w:val="left" w:pos="360"/>
          <w:tab w:val="left" w:pos="840"/>
          <w:tab w:val="clear" w:pos="1620"/>
        </w:tabs>
        <w:snapToGrid w:val="0"/>
        <w:spacing w:line="360" w:lineRule="auto"/>
        <w:ind w:left="360"/>
        <w:rPr>
          <w:rFonts w:ascii="宋体" w:hAnsi="宋体" w:cs="宋体"/>
          <w:b/>
          <w:szCs w:val="21"/>
          <w:highlight w:val="none"/>
        </w:rPr>
      </w:pPr>
      <w:r>
        <w:rPr>
          <w:rFonts w:hint="eastAsia" w:ascii="宋体" w:hAnsi="宋体" w:cs="宋体"/>
          <w:b/>
          <w:szCs w:val="21"/>
          <w:highlight w:val="none"/>
        </w:rPr>
        <w:t>投标报价要求具体见第五章“</w:t>
      </w:r>
      <w:bookmarkStart w:id="125" w:name="_Toc322076489"/>
      <w:r>
        <w:rPr>
          <w:rFonts w:hint="eastAsia" w:ascii="宋体" w:hAnsi="宋体" w:cs="宋体"/>
          <w:b/>
          <w:bCs/>
          <w:szCs w:val="21"/>
          <w:highlight w:val="none"/>
        </w:rPr>
        <w:t>投标报价</w:t>
      </w:r>
      <w:bookmarkEnd w:id="125"/>
      <w:r>
        <w:rPr>
          <w:rFonts w:hint="eastAsia" w:ascii="宋体" w:hAnsi="宋体" w:cs="宋体"/>
          <w:b/>
          <w:szCs w:val="21"/>
          <w:highlight w:val="none"/>
        </w:rPr>
        <w:t>”要求及用户需求书的要求。</w:t>
      </w:r>
    </w:p>
    <w:p>
      <w:pPr>
        <w:numPr>
          <w:ilvl w:val="1"/>
          <w:numId w:val="152"/>
        </w:numPr>
        <w:shd w:val="clear"/>
        <w:tabs>
          <w:tab w:val="left" w:pos="360"/>
          <w:tab w:val="left" w:pos="840"/>
          <w:tab w:val="clear" w:pos="1620"/>
        </w:tabs>
        <w:snapToGrid w:val="0"/>
        <w:spacing w:line="360" w:lineRule="auto"/>
        <w:ind w:left="360"/>
        <w:rPr>
          <w:rFonts w:ascii="宋体" w:hAnsi="宋体" w:cs="宋体"/>
          <w:b/>
          <w:bCs/>
          <w:szCs w:val="21"/>
          <w:highlight w:val="none"/>
        </w:rPr>
      </w:pPr>
      <w:r>
        <w:rPr>
          <w:rFonts w:hint="eastAsia" w:ascii="宋体" w:hAnsi="宋体" w:cs="宋体"/>
          <w:b/>
          <w:bCs/>
          <w:szCs w:val="21"/>
          <w:highlight w:val="none"/>
        </w:rPr>
        <w:t>本项目不接受有选择性的投标报价</w:t>
      </w:r>
      <w:r>
        <w:rPr>
          <w:rFonts w:hint="eastAsia" w:ascii="宋体" w:hAnsi="宋体" w:cs="宋体"/>
          <w:b/>
          <w:szCs w:val="21"/>
          <w:highlight w:val="none"/>
        </w:rPr>
        <w:t>。</w:t>
      </w:r>
    </w:p>
    <w:p>
      <w:pPr>
        <w:numPr>
          <w:ilvl w:val="1"/>
          <w:numId w:val="152"/>
        </w:numPr>
        <w:shd w:val="clear"/>
        <w:tabs>
          <w:tab w:val="left" w:pos="360"/>
          <w:tab w:val="left" w:pos="840"/>
          <w:tab w:val="clear" w:pos="1620"/>
        </w:tabs>
        <w:snapToGrid w:val="0"/>
        <w:spacing w:line="360" w:lineRule="auto"/>
        <w:ind w:left="360"/>
        <w:rPr>
          <w:rFonts w:ascii="宋体" w:hAnsi="宋体" w:cs="宋体"/>
          <w:b/>
          <w:bCs/>
          <w:szCs w:val="21"/>
          <w:highlight w:val="none"/>
        </w:rPr>
      </w:pPr>
      <w:r>
        <w:rPr>
          <w:rFonts w:hint="eastAsia" w:ascii="宋体" w:hAnsi="宋体" w:cs="宋体"/>
          <w:b/>
          <w:bCs/>
          <w:spacing w:val="4"/>
          <w:szCs w:val="21"/>
          <w:highlight w:val="none"/>
        </w:rPr>
        <w:t>中文大写金额用汉字，如壹、贰、叁、肆、伍、陆、柒、捌、玖、拾、佰、仟、万、亿、元、角、分、零、整（正）等。</w:t>
      </w:r>
    </w:p>
    <w:p>
      <w:pPr>
        <w:numPr>
          <w:ilvl w:val="1"/>
          <w:numId w:val="152"/>
        </w:numPr>
        <w:shd w:val="clear"/>
        <w:tabs>
          <w:tab w:val="left" w:pos="360"/>
          <w:tab w:val="left" w:pos="840"/>
          <w:tab w:val="clear" w:pos="1620"/>
        </w:tabs>
        <w:snapToGrid w:val="0"/>
        <w:spacing w:line="360" w:lineRule="auto"/>
        <w:ind w:left="360"/>
        <w:rPr>
          <w:rFonts w:ascii="宋体" w:hAnsi="宋体" w:cs="宋体"/>
          <w:b/>
          <w:bCs/>
          <w:szCs w:val="21"/>
          <w:highlight w:val="none"/>
        </w:rPr>
      </w:pPr>
      <w:r>
        <w:rPr>
          <w:rFonts w:hint="eastAsia" w:ascii="宋体" w:hAnsi="宋体" w:cs="宋体"/>
          <w:b/>
          <w:szCs w:val="21"/>
          <w:highlight w:val="none"/>
        </w:rPr>
        <w:t>若报价有小数点后的数值的，保留小数点后两位小数。</w:t>
      </w:r>
    </w:p>
    <w:p>
      <w:pPr>
        <w:pStyle w:val="48"/>
        <w:shd w:val="clear"/>
        <w:ind w:firstLine="0" w:firstLineChars="0"/>
        <w:rPr>
          <w:rFonts w:ascii="宋体" w:hAnsi="宋体" w:cs="宋体"/>
          <w:b/>
          <w:bCs/>
          <w:szCs w:val="21"/>
          <w:highlight w:val="none"/>
        </w:rPr>
      </w:pPr>
    </w:p>
    <w:p>
      <w:pPr>
        <w:pStyle w:val="48"/>
        <w:shd w:val="clear"/>
        <w:ind w:firstLine="0" w:firstLineChars="0"/>
        <w:rPr>
          <w:rFonts w:ascii="宋体" w:hAnsi="宋体" w:cs="宋体"/>
          <w:b/>
          <w:bCs/>
          <w:szCs w:val="21"/>
          <w:highlight w:val="none"/>
        </w:rPr>
      </w:pPr>
    </w:p>
    <w:p>
      <w:pPr>
        <w:pStyle w:val="48"/>
        <w:shd w:val="clear"/>
        <w:ind w:firstLine="0" w:firstLineChars="0"/>
        <w:rPr>
          <w:rFonts w:ascii="宋体" w:hAnsi="宋体" w:cs="宋体"/>
          <w:b/>
          <w:bCs/>
          <w:szCs w:val="21"/>
          <w:highlight w:val="none"/>
        </w:rPr>
      </w:pPr>
    </w:p>
    <w:p>
      <w:pPr>
        <w:pStyle w:val="48"/>
        <w:shd w:val="clear"/>
        <w:ind w:firstLine="0" w:firstLineChars="0"/>
        <w:rPr>
          <w:rFonts w:ascii="宋体" w:hAnsi="宋体" w:cs="宋体"/>
          <w:b/>
          <w:bCs/>
          <w:szCs w:val="21"/>
          <w:highlight w:val="none"/>
        </w:rPr>
      </w:pPr>
    </w:p>
    <w:p>
      <w:pPr>
        <w:pStyle w:val="48"/>
        <w:shd w:val="clear"/>
        <w:ind w:firstLine="0" w:firstLineChars="0"/>
        <w:rPr>
          <w:rFonts w:ascii="宋体" w:hAnsi="宋体" w:cs="宋体"/>
          <w:b/>
          <w:bCs/>
          <w:szCs w:val="21"/>
          <w:highlight w:val="none"/>
        </w:rPr>
      </w:pPr>
    </w:p>
    <w:p>
      <w:pPr>
        <w:numPr>
          <w:ilvl w:val="0"/>
          <w:numId w:val="147"/>
        </w:numPr>
        <w:shd w:val="clear"/>
        <w:spacing w:line="440" w:lineRule="exact"/>
        <w:rPr>
          <w:rFonts w:ascii="宋体" w:hAnsi="宋体" w:cs="宋体"/>
          <w:bCs/>
          <w:szCs w:val="21"/>
          <w:highlight w:val="none"/>
        </w:rPr>
      </w:pPr>
    </w:p>
    <w:p>
      <w:pPr>
        <w:pStyle w:val="5"/>
        <w:shd w:val="clear"/>
        <w:adjustRightInd w:val="0"/>
        <w:snapToGrid w:val="0"/>
        <w:spacing w:before="156" w:beforeLines="50" w:after="156" w:afterLines="50" w:line="360" w:lineRule="auto"/>
        <w:jc w:val="center"/>
        <w:rPr>
          <w:b w:val="0"/>
          <w:bCs w:val="0"/>
          <w:highlight w:val="none"/>
        </w:rPr>
      </w:pPr>
      <w:bookmarkStart w:id="126" w:name="_Toc275865619"/>
      <w:r>
        <w:rPr>
          <w:rFonts w:hint="eastAsia"/>
          <w:b w:val="0"/>
          <w:bCs w:val="0"/>
          <w:highlight w:val="none"/>
        </w:rPr>
        <w:t>实质性响应一览表</w:t>
      </w:r>
      <w:bookmarkEnd w:id="126"/>
    </w:p>
    <w:p>
      <w:pPr>
        <w:widowControl/>
        <w:shd w:val="clear"/>
        <w:wordWrap w:val="0"/>
        <w:spacing w:line="360" w:lineRule="auto"/>
        <w:jc w:val="left"/>
        <w:rPr>
          <w:rFonts w:ascii="宋体" w:hAnsi="宋体" w:cs="宋体"/>
          <w:b/>
          <w:szCs w:val="21"/>
          <w:highlight w:val="none"/>
        </w:rPr>
      </w:pPr>
      <w:r>
        <w:rPr>
          <w:rFonts w:hint="eastAsia" w:ascii="宋体" w:hAnsi="宋体" w:cs="宋体"/>
          <w:szCs w:val="21"/>
          <w:highlight w:val="none"/>
        </w:rPr>
        <w:t>投标人名称：                                                     项目编号：BDGZ2023024</w:t>
      </w:r>
      <w:r>
        <w:rPr>
          <w:rFonts w:hint="eastAsia" w:ascii="宋体" w:hAnsi="宋体" w:cs="宋体"/>
          <w:kern w:val="0"/>
          <w:szCs w:val="21"/>
          <w:highlight w:val="none"/>
        </w:rPr>
        <w:t> </w:t>
      </w:r>
    </w:p>
    <w:tbl>
      <w:tblPr>
        <w:tblStyle w:val="22"/>
        <w:tblW w:w="9223" w:type="dxa"/>
        <w:tblInd w:w="6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9"/>
        <w:gridCol w:w="4132"/>
        <w:gridCol w:w="1060"/>
        <w:gridCol w:w="1694"/>
        <w:gridCol w:w="16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719" w:type="dxa"/>
            <w:tcBorders>
              <w:top w:val="single" w:color="auto" w:sz="12" w:space="0"/>
              <w:bottom w:val="double" w:color="auto" w:sz="4" w:space="0"/>
            </w:tcBorders>
            <w:shd w:val="clear" w:color="auto" w:fill="EEECE1"/>
            <w:vAlign w:val="center"/>
          </w:tcPr>
          <w:p>
            <w:pPr>
              <w:shd w:val="clear"/>
              <w:wordWrap w:val="0"/>
              <w:ind w:left="-90" w:leftChars="-43" w:right="-103" w:rightChars="-49"/>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4132" w:type="dxa"/>
            <w:tcBorders>
              <w:top w:val="single" w:color="auto" w:sz="12" w:space="0"/>
              <w:bottom w:val="double" w:color="auto" w:sz="4" w:space="0"/>
            </w:tcBorders>
            <w:shd w:val="clear" w:color="auto" w:fill="EEECE1"/>
            <w:vAlign w:val="center"/>
          </w:tcPr>
          <w:p>
            <w:pPr>
              <w:shd w:val="clear"/>
              <w:wordWrap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原条款描述</w:t>
            </w:r>
          </w:p>
        </w:tc>
        <w:tc>
          <w:tcPr>
            <w:tcW w:w="1060" w:type="dxa"/>
            <w:tcBorders>
              <w:top w:val="single" w:color="auto" w:sz="12" w:space="0"/>
              <w:bottom w:val="double" w:color="auto" w:sz="4" w:space="0"/>
            </w:tcBorders>
            <w:shd w:val="clear" w:color="auto" w:fill="EEECE1"/>
            <w:vAlign w:val="center"/>
          </w:tcPr>
          <w:p>
            <w:pPr>
              <w:shd w:val="clear"/>
              <w:wordWrap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投标人响应描述</w:t>
            </w:r>
          </w:p>
        </w:tc>
        <w:tc>
          <w:tcPr>
            <w:tcW w:w="1694" w:type="dxa"/>
            <w:tcBorders>
              <w:top w:val="single" w:color="auto" w:sz="12" w:space="0"/>
              <w:bottom w:val="double" w:color="auto" w:sz="4" w:space="0"/>
              <w:right w:val="single" w:color="auto" w:sz="2" w:space="0"/>
            </w:tcBorders>
            <w:shd w:val="clear" w:color="auto" w:fill="EEECE1"/>
            <w:vAlign w:val="center"/>
          </w:tcPr>
          <w:p>
            <w:pPr>
              <w:shd w:val="clear"/>
              <w:wordWrap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偏离情况说明</w:t>
            </w:r>
          </w:p>
          <w:p>
            <w:pPr>
              <w:shd w:val="clear"/>
              <w:wordWrap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（正偏离/完全响应/负偏离）</w:t>
            </w:r>
          </w:p>
        </w:tc>
        <w:tc>
          <w:tcPr>
            <w:tcW w:w="1618" w:type="dxa"/>
            <w:tcBorders>
              <w:top w:val="single" w:color="auto" w:sz="12" w:space="0"/>
              <w:left w:val="single" w:color="auto" w:sz="2" w:space="0"/>
              <w:bottom w:val="double" w:color="auto" w:sz="4" w:space="0"/>
            </w:tcBorders>
            <w:shd w:val="clear" w:color="auto" w:fill="EEECE1"/>
            <w:vAlign w:val="center"/>
          </w:tcPr>
          <w:p>
            <w:pPr>
              <w:shd w:val="clear"/>
              <w:wordWrap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23" w:type="dxa"/>
            <w:gridSpan w:val="5"/>
            <w:tcBorders>
              <w:top w:val="double" w:color="auto" w:sz="4" w:space="0"/>
            </w:tcBorders>
            <w:vAlign w:val="center"/>
          </w:tcPr>
          <w:p>
            <w:pPr>
              <w:shd w:val="clear"/>
              <w:wordWrap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9" w:type="dxa"/>
            <w:tcBorders>
              <w:top w:val="double" w:color="auto" w:sz="4" w:space="0"/>
            </w:tcBorders>
            <w:vAlign w:val="center"/>
          </w:tcPr>
          <w:p>
            <w:pPr>
              <w:numPr>
                <w:ilvl w:val="0"/>
                <w:numId w:val="153"/>
              </w:numPr>
              <w:shd w:val="clear"/>
              <w:wordWrap w:val="0"/>
              <w:jc w:val="center"/>
              <w:rPr>
                <w:rFonts w:hint="eastAsia" w:ascii="宋体" w:hAnsi="宋体" w:eastAsia="宋体" w:cs="宋体"/>
                <w:sz w:val="21"/>
                <w:szCs w:val="21"/>
                <w:highlight w:val="none"/>
              </w:rPr>
            </w:pPr>
          </w:p>
        </w:tc>
        <w:tc>
          <w:tcPr>
            <w:tcW w:w="4132" w:type="dxa"/>
            <w:tcBorders>
              <w:top w:val="double" w:color="auto" w:sz="4" w:space="0"/>
            </w:tcBorders>
            <w:vAlign w:val="center"/>
          </w:tcPr>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kern w:val="0"/>
                <w:sz w:val="21"/>
                <w:szCs w:val="21"/>
                <w:highlight w:val="none"/>
              </w:rPr>
              <w:t>管理服务范围内无因中标人管理不当而发生重大刑事案件、重大交通及重大火灾等安全事故，社区监控范围内无被盗等治安案件的发生，无纵火、爆炸、投毒等恶性事（案）件发生、无外事纠纷、泄密等事（案）件发生。如因中标人管理不当导致上述事（案）件的发生，所产生的损失和责任全部由中标人承担</w:t>
            </w:r>
            <w:r>
              <w:rPr>
                <w:rFonts w:hint="eastAsia" w:ascii="宋体" w:hAnsi="宋体" w:eastAsia="宋体" w:cs="宋体"/>
                <w:bCs/>
                <w:sz w:val="21"/>
                <w:szCs w:val="21"/>
                <w:highlight w:val="none"/>
              </w:rPr>
              <w:t>【投标时提供</w:t>
            </w:r>
            <w:r>
              <w:rPr>
                <w:rFonts w:hint="eastAsia" w:ascii="宋体" w:hAnsi="宋体" w:eastAsia="宋体" w:cs="宋体"/>
                <w:sz w:val="21"/>
                <w:szCs w:val="21"/>
                <w:highlight w:val="none"/>
              </w:rPr>
              <w:t>由法定代表人签名确认的承诺函作证明，承诺函格式自拟】</w:t>
            </w:r>
          </w:p>
        </w:tc>
        <w:tc>
          <w:tcPr>
            <w:tcW w:w="1060" w:type="dxa"/>
            <w:tcBorders>
              <w:top w:val="double" w:color="auto" w:sz="4" w:space="0"/>
            </w:tcBorders>
            <w:vAlign w:val="center"/>
          </w:tcPr>
          <w:p>
            <w:pPr>
              <w:shd w:val="clear"/>
              <w:wordWrap w:val="0"/>
              <w:jc w:val="center"/>
              <w:rPr>
                <w:rFonts w:hint="eastAsia" w:ascii="宋体" w:hAnsi="宋体" w:eastAsia="宋体" w:cs="宋体"/>
                <w:sz w:val="21"/>
                <w:szCs w:val="21"/>
                <w:highlight w:val="none"/>
              </w:rPr>
            </w:pPr>
          </w:p>
        </w:tc>
        <w:tc>
          <w:tcPr>
            <w:tcW w:w="1694" w:type="dxa"/>
            <w:tcBorders>
              <w:top w:val="double" w:color="auto" w:sz="4" w:space="0"/>
              <w:right w:val="single" w:color="auto" w:sz="2" w:space="0"/>
            </w:tcBorders>
            <w:vAlign w:val="center"/>
          </w:tcPr>
          <w:p>
            <w:pPr>
              <w:shd w:val="clear"/>
              <w:wordWrap w:val="0"/>
              <w:jc w:val="center"/>
              <w:rPr>
                <w:rFonts w:hint="eastAsia" w:ascii="宋体" w:hAnsi="宋体" w:eastAsia="宋体" w:cs="宋体"/>
                <w:sz w:val="21"/>
                <w:szCs w:val="21"/>
                <w:highlight w:val="none"/>
              </w:rPr>
            </w:pPr>
          </w:p>
        </w:tc>
        <w:tc>
          <w:tcPr>
            <w:tcW w:w="1618" w:type="dxa"/>
            <w:tcBorders>
              <w:top w:val="double" w:color="auto" w:sz="4" w:space="0"/>
              <w:left w:val="single" w:color="auto" w:sz="2" w:space="0"/>
            </w:tcBorders>
            <w:vAlign w:val="center"/>
          </w:tcPr>
          <w:p>
            <w:pPr>
              <w:shd w:val="clear"/>
              <w:wordWrap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见《投标文件》第</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19" w:type="dxa"/>
            <w:vAlign w:val="center"/>
          </w:tcPr>
          <w:p>
            <w:pPr>
              <w:numPr>
                <w:ilvl w:val="0"/>
                <w:numId w:val="153"/>
              </w:numPr>
              <w:shd w:val="clear"/>
              <w:wordWrap w:val="0"/>
              <w:jc w:val="center"/>
              <w:rPr>
                <w:rFonts w:hint="eastAsia" w:ascii="宋体" w:hAnsi="宋体" w:eastAsia="宋体" w:cs="宋体"/>
                <w:sz w:val="21"/>
                <w:szCs w:val="21"/>
                <w:highlight w:val="none"/>
              </w:rPr>
            </w:pPr>
          </w:p>
        </w:tc>
        <w:tc>
          <w:tcPr>
            <w:tcW w:w="4132" w:type="dxa"/>
            <w:vAlign w:val="center"/>
          </w:tcPr>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kern w:val="0"/>
                <w:sz w:val="21"/>
                <w:szCs w:val="21"/>
                <w:highlight w:val="none"/>
              </w:rPr>
              <w:t>园区内设施、机电设备无操作管理、使用责任事故发生。全部外包项目及园区内施工工程无因中标人监管不到位而发生安全事故。如因中标人管理不当导致发生安全事故，所产生的损失和责任全部由中标人承担（投标时提供承诺函作为证明材料</w:t>
            </w:r>
            <w:r>
              <w:rPr>
                <w:rFonts w:hint="eastAsia" w:ascii="宋体" w:hAnsi="宋体" w:eastAsia="宋体" w:cs="宋体"/>
                <w:sz w:val="21"/>
                <w:szCs w:val="21"/>
                <w:highlight w:val="none"/>
              </w:rPr>
              <w:t>，承诺函格式自拟</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w:t>
            </w:r>
          </w:p>
        </w:tc>
        <w:tc>
          <w:tcPr>
            <w:tcW w:w="1060" w:type="dxa"/>
            <w:vAlign w:val="center"/>
          </w:tcPr>
          <w:p>
            <w:pPr>
              <w:shd w:val="clear"/>
              <w:wordWrap w:val="0"/>
              <w:jc w:val="center"/>
              <w:rPr>
                <w:rFonts w:hint="eastAsia" w:ascii="宋体" w:hAnsi="宋体" w:eastAsia="宋体" w:cs="宋体"/>
                <w:sz w:val="21"/>
                <w:szCs w:val="21"/>
                <w:highlight w:val="none"/>
              </w:rPr>
            </w:pPr>
          </w:p>
        </w:tc>
        <w:tc>
          <w:tcPr>
            <w:tcW w:w="1694" w:type="dxa"/>
            <w:tcBorders>
              <w:right w:val="single" w:color="auto" w:sz="2" w:space="0"/>
            </w:tcBorders>
            <w:vAlign w:val="center"/>
          </w:tcPr>
          <w:p>
            <w:pPr>
              <w:shd w:val="clear"/>
              <w:wordWrap w:val="0"/>
              <w:jc w:val="center"/>
              <w:rPr>
                <w:rFonts w:hint="eastAsia" w:ascii="宋体" w:hAnsi="宋体" w:eastAsia="宋体" w:cs="宋体"/>
                <w:sz w:val="21"/>
                <w:szCs w:val="21"/>
                <w:highlight w:val="none"/>
              </w:rPr>
            </w:pPr>
          </w:p>
        </w:tc>
        <w:tc>
          <w:tcPr>
            <w:tcW w:w="1618" w:type="dxa"/>
            <w:tcBorders>
              <w:left w:val="single" w:color="auto" w:sz="2" w:space="0"/>
            </w:tcBorders>
            <w:vAlign w:val="center"/>
          </w:tcPr>
          <w:p>
            <w:pPr>
              <w:shd w:val="clear"/>
              <w:wordWrap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见《投标文件》第</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9223" w:type="dxa"/>
            <w:gridSpan w:val="5"/>
            <w:vAlign w:val="center"/>
          </w:tcPr>
          <w:p>
            <w:pPr>
              <w:shd w:val="clear"/>
              <w:wordWrap w:val="0"/>
              <w:jc w:val="center"/>
              <w:rPr>
                <w:rFonts w:hint="eastAsia" w:ascii="宋体" w:hAnsi="宋体" w:eastAsia="宋体" w:cs="宋体"/>
                <w:sz w:val="21"/>
                <w:szCs w:val="21"/>
                <w:highlight w:val="none"/>
              </w:rPr>
            </w:pPr>
            <w:r>
              <w:rPr>
                <w:rFonts w:hint="eastAsia" w:ascii="宋体" w:hAnsi="宋体" w:eastAsia="宋体" w:cs="宋体"/>
                <w:b/>
                <w:bCs/>
                <w:sz w:val="21"/>
                <w:szCs w:val="21"/>
                <w:highlight w:val="none"/>
              </w:rPr>
              <w:t>商务要求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19" w:type="dxa"/>
            <w:vAlign w:val="center"/>
          </w:tcPr>
          <w:p>
            <w:pPr>
              <w:numPr>
                <w:ilvl w:val="0"/>
                <w:numId w:val="154"/>
              </w:numPr>
              <w:shd w:val="clear"/>
              <w:wordWrap w:val="0"/>
              <w:jc w:val="center"/>
              <w:rPr>
                <w:rFonts w:hint="eastAsia" w:ascii="宋体" w:hAnsi="宋体" w:eastAsia="宋体" w:cs="宋体"/>
                <w:sz w:val="21"/>
                <w:szCs w:val="21"/>
                <w:highlight w:val="none"/>
              </w:rPr>
            </w:pPr>
          </w:p>
        </w:tc>
        <w:tc>
          <w:tcPr>
            <w:tcW w:w="4132" w:type="dxa"/>
            <w:vAlign w:val="center"/>
          </w:tcPr>
          <w:p>
            <w:pPr>
              <w:shd w:val="clear"/>
              <w:wordWrap w:val="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一、服务期限</w:t>
            </w:r>
          </w:p>
          <w:p>
            <w:pPr>
              <w:shd w:val="clear"/>
              <w:wordWrap w:val="0"/>
              <w:rPr>
                <w:rFonts w:hint="eastAsia" w:ascii="宋体" w:hAnsi="宋体" w:eastAsia="宋体" w:cs="宋体"/>
                <w:b/>
                <w:bCs/>
                <w:sz w:val="21"/>
                <w:szCs w:val="21"/>
                <w:highlight w:val="none"/>
              </w:rPr>
            </w:pPr>
            <w:r>
              <w:rPr>
                <w:rFonts w:hint="eastAsia" w:ascii="宋体" w:hAnsi="宋体" w:eastAsia="宋体" w:cs="宋体"/>
                <w:sz w:val="21"/>
                <w:szCs w:val="21"/>
                <w:highlight w:val="none"/>
              </w:rPr>
              <w:t>二年（具体服务起始时间以招标人通知为准）。</w:t>
            </w:r>
          </w:p>
        </w:tc>
        <w:tc>
          <w:tcPr>
            <w:tcW w:w="1060" w:type="dxa"/>
            <w:vAlign w:val="center"/>
          </w:tcPr>
          <w:p>
            <w:pPr>
              <w:shd w:val="clear"/>
              <w:wordWrap w:val="0"/>
              <w:jc w:val="center"/>
              <w:rPr>
                <w:rFonts w:hint="eastAsia" w:ascii="宋体" w:hAnsi="宋体" w:eastAsia="宋体" w:cs="宋体"/>
                <w:sz w:val="21"/>
                <w:szCs w:val="21"/>
                <w:highlight w:val="none"/>
              </w:rPr>
            </w:pPr>
          </w:p>
        </w:tc>
        <w:tc>
          <w:tcPr>
            <w:tcW w:w="1694" w:type="dxa"/>
            <w:tcBorders>
              <w:right w:val="single" w:color="auto" w:sz="2" w:space="0"/>
            </w:tcBorders>
            <w:vAlign w:val="center"/>
          </w:tcPr>
          <w:p>
            <w:pPr>
              <w:shd w:val="clear"/>
              <w:wordWrap w:val="0"/>
              <w:jc w:val="center"/>
              <w:rPr>
                <w:rFonts w:hint="eastAsia" w:ascii="宋体" w:hAnsi="宋体" w:eastAsia="宋体" w:cs="宋体"/>
                <w:sz w:val="21"/>
                <w:szCs w:val="21"/>
                <w:highlight w:val="none"/>
              </w:rPr>
            </w:pPr>
          </w:p>
        </w:tc>
        <w:tc>
          <w:tcPr>
            <w:tcW w:w="1618" w:type="dxa"/>
            <w:tcBorders>
              <w:left w:val="single" w:color="auto" w:sz="2" w:space="0"/>
            </w:tcBorders>
            <w:vAlign w:val="center"/>
          </w:tcPr>
          <w:p>
            <w:pPr>
              <w:shd w:val="clear"/>
              <w:wordWrap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见《投标文件》第</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19" w:type="dxa"/>
            <w:vAlign w:val="center"/>
          </w:tcPr>
          <w:p>
            <w:pPr>
              <w:numPr>
                <w:ilvl w:val="0"/>
                <w:numId w:val="154"/>
              </w:numPr>
              <w:shd w:val="clear"/>
              <w:wordWrap w:val="0"/>
              <w:jc w:val="center"/>
              <w:rPr>
                <w:rFonts w:hint="eastAsia" w:ascii="宋体" w:hAnsi="宋体" w:eastAsia="宋体" w:cs="宋体"/>
                <w:sz w:val="21"/>
                <w:szCs w:val="21"/>
                <w:highlight w:val="none"/>
              </w:rPr>
            </w:pPr>
          </w:p>
        </w:tc>
        <w:tc>
          <w:tcPr>
            <w:tcW w:w="4132" w:type="dxa"/>
            <w:vAlign w:val="center"/>
          </w:tcPr>
          <w:p>
            <w:pPr>
              <w:shd w:val="clear"/>
              <w:wordWrap w:val="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二、其他要求</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（一）如中标人的人员出现违法违规行为，中标人应把处理方案以及处理结果以书面形式送达招标人备案。</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（二）中标人应不定时组织人员的培训工作，提升工作人员的工作素质和质量。</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（三）中标人要准时支付工作人员的工资，如因中标人原因拖欠工资或发生劳动争议纠纷等一切责任由中标人承担，与招标人无关。</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（四）中标人要按相关法律法规规定为工作人员购买社保及保险，中标人工作人员在工作期间因各类事故导致的人身伤害，由中标人全部承担，与招标人无关。</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五）中标人不得把项目转包、转让予第三方公司或分公司，否则招标人有权单方解除合同并没收履约保证金而无需承担任何违约责任，中标人须与招标人聘请的新物业管理服务企业办妥相关的交接手续。如履约保证金不足以赔偿招标人损失时，招标人还有权继续对中标人进行追讨。</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六）经招标人同意，中标人可委托专业公司对招标人设备、设施、维护、维修、保养及承担本物业的专项维护、管理与服务业务，但不得将本项目的管理责任转让给第三方，同时中标人应保证招标人相关设施、设备的正常管理、运行，有关费用已计入本合同总价，超出部分由中标人承担。</w:t>
            </w:r>
          </w:p>
          <w:p>
            <w:pPr>
              <w:shd w:val="clear"/>
              <w:wordWrap w:val="0"/>
              <w:rPr>
                <w:rFonts w:hint="eastAsia" w:ascii="宋体" w:hAnsi="宋体" w:eastAsia="宋体" w:cs="宋体"/>
                <w:b/>
                <w:bCs/>
                <w:sz w:val="21"/>
                <w:szCs w:val="21"/>
                <w:highlight w:val="none"/>
              </w:rPr>
            </w:pPr>
            <w:r>
              <w:rPr>
                <w:rFonts w:hint="eastAsia" w:ascii="宋体" w:hAnsi="宋体" w:eastAsia="宋体" w:cs="宋体"/>
                <w:sz w:val="21"/>
                <w:szCs w:val="21"/>
                <w:highlight w:val="none"/>
              </w:rPr>
              <w:t>（七）合同履行期间及合同解除或终止后，中标人因自身合同纠纷或劳资纠纷等问题及相关法律责任与招标人无关，由中标人自行解决。若上述问题对招标人、园区入驻企业正常经营造成影响的，招标人有权向中标人追究相关法律责任，由此造成的招标人经济损失、园区入驻企业经济损失由中标人承担（投标时提供承诺函作为证明材料，格式自拟）。</w:t>
            </w:r>
          </w:p>
        </w:tc>
        <w:tc>
          <w:tcPr>
            <w:tcW w:w="1060" w:type="dxa"/>
            <w:vAlign w:val="center"/>
          </w:tcPr>
          <w:p>
            <w:pPr>
              <w:shd w:val="clear"/>
              <w:wordWrap w:val="0"/>
              <w:jc w:val="center"/>
              <w:rPr>
                <w:rFonts w:hint="eastAsia" w:ascii="宋体" w:hAnsi="宋体" w:eastAsia="宋体" w:cs="宋体"/>
                <w:sz w:val="21"/>
                <w:szCs w:val="21"/>
                <w:highlight w:val="none"/>
              </w:rPr>
            </w:pPr>
          </w:p>
        </w:tc>
        <w:tc>
          <w:tcPr>
            <w:tcW w:w="1694" w:type="dxa"/>
            <w:tcBorders>
              <w:right w:val="single" w:color="auto" w:sz="2" w:space="0"/>
            </w:tcBorders>
            <w:vAlign w:val="center"/>
          </w:tcPr>
          <w:p>
            <w:pPr>
              <w:shd w:val="clear"/>
              <w:wordWrap w:val="0"/>
              <w:jc w:val="center"/>
              <w:rPr>
                <w:rFonts w:hint="eastAsia" w:ascii="宋体" w:hAnsi="宋体" w:eastAsia="宋体" w:cs="宋体"/>
                <w:sz w:val="21"/>
                <w:szCs w:val="21"/>
                <w:highlight w:val="none"/>
              </w:rPr>
            </w:pPr>
          </w:p>
        </w:tc>
        <w:tc>
          <w:tcPr>
            <w:tcW w:w="1618" w:type="dxa"/>
            <w:tcBorders>
              <w:left w:val="single" w:color="auto" w:sz="2" w:space="0"/>
            </w:tcBorders>
            <w:vAlign w:val="center"/>
          </w:tcPr>
          <w:p>
            <w:pPr>
              <w:shd w:val="clear"/>
              <w:wordWrap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见《投标文件》第</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19" w:type="dxa"/>
            <w:vAlign w:val="center"/>
          </w:tcPr>
          <w:p>
            <w:pPr>
              <w:numPr>
                <w:ilvl w:val="0"/>
                <w:numId w:val="154"/>
              </w:numPr>
              <w:shd w:val="clear"/>
              <w:wordWrap w:val="0"/>
              <w:jc w:val="center"/>
              <w:rPr>
                <w:rFonts w:hint="eastAsia" w:ascii="宋体" w:hAnsi="宋体" w:eastAsia="宋体" w:cs="宋体"/>
                <w:sz w:val="21"/>
                <w:szCs w:val="21"/>
                <w:highlight w:val="none"/>
              </w:rPr>
            </w:pPr>
          </w:p>
        </w:tc>
        <w:tc>
          <w:tcPr>
            <w:tcW w:w="4132" w:type="dxa"/>
            <w:vAlign w:val="center"/>
          </w:tcPr>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三、报价要求</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（一）本项目2年服务总费用为人民币</w:t>
            </w:r>
            <w:r>
              <w:rPr>
                <w:rFonts w:hint="eastAsia" w:ascii="宋体" w:hAnsi="宋体" w:eastAsia="宋体" w:cs="宋体"/>
                <w:sz w:val="21"/>
                <w:szCs w:val="21"/>
                <w:highlight w:val="none"/>
                <w:lang w:eastAsia="zh-CN"/>
              </w:rPr>
              <w:t>7,895,161.64</w:t>
            </w:r>
            <w:r>
              <w:rPr>
                <w:rFonts w:hint="eastAsia" w:ascii="宋体" w:hAnsi="宋体" w:eastAsia="宋体" w:cs="宋体"/>
                <w:sz w:val="21"/>
                <w:szCs w:val="21"/>
                <w:highlight w:val="none"/>
              </w:rPr>
              <w:t>元，本项目的最高限价为人民币</w:t>
            </w:r>
            <w:r>
              <w:rPr>
                <w:rFonts w:hint="eastAsia" w:ascii="宋体" w:hAnsi="宋体" w:eastAsia="宋体" w:cs="宋体"/>
                <w:sz w:val="21"/>
                <w:szCs w:val="21"/>
                <w:highlight w:val="none"/>
                <w:lang w:eastAsia="zh-CN"/>
              </w:rPr>
              <w:t>7,895,161.64</w:t>
            </w:r>
            <w:r>
              <w:rPr>
                <w:rFonts w:hint="eastAsia" w:ascii="宋体" w:hAnsi="宋体" w:eastAsia="宋体" w:cs="宋体"/>
                <w:sz w:val="21"/>
                <w:szCs w:val="21"/>
                <w:highlight w:val="none"/>
              </w:rPr>
              <w:t>元，本项目投标报不得超出最单年高限价，否则该投标文件为无效标。</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二）本项目服务总费用已包含物业管理服务费、人工费（含工资、社保、工伤意外保险、全勤补助、节假日补助、加班费、高温补助费、年终奖励金等）、清洁所需材料或工具费、设备车辆、各种税费、中标服务费、相关用具的使用费用及各项税费等一切与完成本项目相关费用及合同实施过程中应预见和不可预见的一切费用。对于招标人内未明确数量的物业服务对象，视为已经包含在合同总价中，不再按实际数量调整，本项目提供的物业管理服务面积，若与实际情况不符时，招标人不作调整，按本合同总价结算。</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三）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c>
          <w:tcPr>
            <w:tcW w:w="1060" w:type="dxa"/>
            <w:vAlign w:val="center"/>
          </w:tcPr>
          <w:p>
            <w:pPr>
              <w:shd w:val="clear"/>
              <w:wordWrap w:val="0"/>
              <w:jc w:val="center"/>
              <w:rPr>
                <w:rFonts w:hint="eastAsia" w:ascii="宋体" w:hAnsi="宋体" w:eastAsia="宋体" w:cs="宋体"/>
                <w:sz w:val="21"/>
                <w:szCs w:val="21"/>
                <w:highlight w:val="none"/>
              </w:rPr>
            </w:pPr>
          </w:p>
        </w:tc>
        <w:tc>
          <w:tcPr>
            <w:tcW w:w="1694" w:type="dxa"/>
            <w:tcBorders>
              <w:right w:val="single" w:color="auto" w:sz="2" w:space="0"/>
            </w:tcBorders>
            <w:vAlign w:val="center"/>
          </w:tcPr>
          <w:p>
            <w:pPr>
              <w:shd w:val="clear"/>
              <w:wordWrap w:val="0"/>
              <w:jc w:val="center"/>
              <w:rPr>
                <w:rFonts w:hint="eastAsia" w:ascii="宋体" w:hAnsi="宋体" w:eastAsia="宋体" w:cs="宋体"/>
                <w:sz w:val="21"/>
                <w:szCs w:val="21"/>
                <w:highlight w:val="none"/>
              </w:rPr>
            </w:pPr>
          </w:p>
        </w:tc>
        <w:tc>
          <w:tcPr>
            <w:tcW w:w="1618" w:type="dxa"/>
            <w:tcBorders>
              <w:left w:val="single" w:color="auto" w:sz="2" w:space="0"/>
            </w:tcBorders>
            <w:vAlign w:val="center"/>
          </w:tcPr>
          <w:p>
            <w:pPr>
              <w:shd w:val="clear"/>
              <w:wordWrap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见《投标文件》第</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19" w:type="dxa"/>
            <w:vAlign w:val="center"/>
          </w:tcPr>
          <w:p>
            <w:pPr>
              <w:numPr>
                <w:ilvl w:val="0"/>
                <w:numId w:val="154"/>
              </w:numPr>
              <w:shd w:val="clear"/>
              <w:wordWrap w:val="0"/>
              <w:jc w:val="center"/>
              <w:rPr>
                <w:rFonts w:hint="eastAsia" w:ascii="宋体" w:hAnsi="宋体" w:eastAsia="宋体" w:cs="宋体"/>
                <w:sz w:val="21"/>
                <w:szCs w:val="21"/>
                <w:highlight w:val="none"/>
              </w:rPr>
            </w:pPr>
          </w:p>
        </w:tc>
        <w:tc>
          <w:tcPr>
            <w:tcW w:w="4132" w:type="dxa"/>
            <w:vAlign w:val="center"/>
          </w:tcPr>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四、物业管理费用说明</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（一）费用包括中标人履行本合同物业日常管理服务所发生一切费用，包括但不限于：</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物管服务人员</w:t>
            </w:r>
            <w:r>
              <w:rPr>
                <w:rFonts w:hint="eastAsia" w:ascii="宋体" w:hAnsi="宋体" w:eastAsia="宋体" w:cs="宋体"/>
                <w:sz w:val="21"/>
                <w:szCs w:val="21"/>
                <w:highlight w:val="none"/>
              </w:rPr>
              <w:t>工资：正常工资、年终奖、法定节假日加班费等（需符合《中华人民共和国劳动法》工资保障制度）；</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物管服务人员</w:t>
            </w:r>
            <w:r>
              <w:rPr>
                <w:rFonts w:hint="eastAsia" w:ascii="宋体" w:hAnsi="宋体" w:eastAsia="宋体" w:cs="宋体"/>
                <w:sz w:val="21"/>
                <w:szCs w:val="21"/>
                <w:highlight w:val="none"/>
              </w:rPr>
              <w:t>福利保险：福利费（奖金补贴）、培训费、工会及活动经费、节假日慰问费、防寒御暑费、员工生日福利、节假日慰问金、经济补偿金、残疾人就业保障金、员工伙食补贴、佛山市规定的各种社会保险等，否则交由劳动部门处理；</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3.办公费用：办公室水电费、通讯费（含电话通讯费、传真费、网络费）、办公设备维护和办公用品、档案管理、差旅费、员工行政管理费用等；</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4.公共秩序（安防）费用：安防工具物料消耗（包括对讲机、自行车、警具、雪糕筒、水马、围栏、警戒线等消耗费用）、保安管理费（公安部门收取）、各种装备维护保养费、消防工具（含枪头、水带、灭火器充装等消耗费用）等；</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5.清洁、保洁、消杀费用：清洁工具、物料消耗费、化粪池清理（每年清掏不少于1次）、供水箱清洗（每季度清洗一次，以及根据使用情况更换零部件）、消杀四害（夏季每月不少于2次，冬季每月1次）和防治白蚁（每年不少于4次）、环卫设施的更换维护保养、垃圾清运及处理费、建筑物外墙及玻璃幕墙清洗费（每年清洗1次）、防范各类传染病（非典、登革热及类似疫情）的各项防疫及应急工作的费用；</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6.绿化维护保养费用：工具物料消耗、剪草机汽油费、施肥、病虫害防治费、苗木补种（包括草皮、树苗及支撑杆等消耗）、绿化垃圾清运费用；</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7.园区公共设施设备运行及保养费用，包含但不限于以下部分：</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(1)公共照明设施维保费：路灯、景观灯、射灯、吊灯、壁灯、天花灯槽、开关线路等维修保养；</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(2)消防系统维保费: 发电机、变压器、电箱及线路等的维修、更换、清洁、保养，消防远程监控系统设备等；</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(3)智能化弱电系统维保费:门禁道闸、对讲及防盗视频等弱电系统、电子巡更系统的维修保养；</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(4)水泵及供水管道维保费: 水泵、水泵控制柜、管道、阀门、水龙头、冲水阀、水箱、接水管等给水系统的维修、保养、更换、刷漆等；</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(5)电梯维保费、年检费：园区内所有电梯日常维护、保养、维修，非核心零部件的更换，以及电梯年检；</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(6)防雷设施维护费：园区内所有防雷设施的检测、保养、维修、更换等；</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(7)设备设施及房屋附属设施维修费：设备设施的小修、中修，零星维修，门窗、公厕、公共装饰设施等公共设施的保养、维修等；</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(8)空调系统：园区公共区域、管理办公区域空调设施的管理维护；</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(9)道路和排污排水管沟维保费：室外道路路面、路沿石、广场砖、地砖、道路标线、其他交通设施及各种检查井、排水管、排污管等的；包括化粪池、雨水井、污水井、排水管、明暗沟的清疏费用；</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(10)电房内高低压电力设施的维护费用；</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(11)公共责任险：根据园区要求及实际需要配置公共责任险，保单中应包含但不限于：承担园区内因管理过失导致的意外事故的人身财产损失，累计赔偿限额不低于人民币200万元；注：保单中，招标人应为被保人或受益人，免赔额部分由招标人承担。</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(12)开办费用清单：中标人进驻并开展正常工作所必备的物资装备费用主要有：交通工具、通讯工具、办公家具、办公设备、全部人员的服装、安防装备、维修工具、绿化工具、保洁工具；</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(13)不可预测费用；</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(14)管理酬金；</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(15)税金。</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8.费用不包括的事项：</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(1)单项人民币2000元以上（不包含人民币2000元）的物业、设施设备的维修费由招标人承担（该类项目由中标人向招标人作事项申请，确认由招标人负责实施的，在支付给中标人的月度物业服务费中予以扣除人民币2000元/项，每月5项封顶，因建筑原始结构问题导致的房屋漏水渗水问题、地下旧有供水管道破裂的维修事项、对园区环境设施实施的提升改造事项不作扣除）。</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(2)其它本项目服务内容外，需要招标人和中标人协商的费用。</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9.费用说明：</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(1)特种设施或专业设施的维保托管事项，由中标人向招标人提交聘请第三方机构的相关资料（含专业资质），经招标人备案后，由中标人或委托第三方公司进行维保，费用由中标人承担；特种设施或专业设施维保托管单位在管理期内发生安全事故或劳资、合同纠纷的，所有责任由中标人全部承担；</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(2)园内发生物业损坏时，由中标人向招标人提交修复明细以及拟委托第三方公司的相关资质，经招标人备案后，由中标人自行或委托第三方公司施工，费用由中标人承担；第三方施工单位在施工期内发生安全事故、劳资、合同纠纷或对招标人、施工人员、第三人造成人身、财产损害的，所有责任由中标人全部承担。</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注：物业维保费用包含：物业维修、保养及零件更换。</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(3)其他约定：招标人免费提供配套办公用房,中标人使用上述房屋产生的费用（如办公费、水电费用、用品更换费用、设施设备购置费用等）自理。</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(4)由于中标人维护保养不善，物业损坏而导致园区或第三方财产损失，由中标人承担相应责任及费用。</w:t>
            </w:r>
          </w:p>
        </w:tc>
        <w:tc>
          <w:tcPr>
            <w:tcW w:w="1060" w:type="dxa"/>
            <w:vAlign w:val="center"/>
          </w:tcPr>
          <w:p>
            <w:pPr>
              <w:shd w:val="clear"/>
              <w:wordWrap w:val="0"/>
              <w:jc w:val="center"/>
              <w:rPr>
                <w:rFonts w:hint="eastAsia" w:ascii="宋体" w:hAnsi="宋体" w:eastAsia="宋体" w:cs="宋体"/>
                <w:sz w:val="21"/>
                <w:szCs w:val="21"/>
                <w:highlight w:val="none"/>
              </w:rPr>
            </w:pPr>
          </w:p>
        </w:tc>
        <w:tc>
          <w:tcPr>
            <w:tcW w:w="1694" w:type="dxa"/>
            <w:tcBorders>
              <w:right w:val="single" w:color="auto" w:sz="2" w:space="0"/>
            </w:tcBorders>
            <w:vAlign w:val="center"/>
          </w:tcPr>
          <w:p>
            <w:pPr>
              <w:shd w:val="clear"/>
              <w:wordWrap w:val="0"/>
              <w:jc w:val="center"/>
              <w:rPr>
                <w:rFonts w:hint="eastAsia" w:ascii="宋体" w:hAnsi="宋体" w:eastAsia="宋体" w:cs="宋体"/>
                <w:sz w:val="21"/>
                <w:szCs w:val="21"/>
                <w:highlight w:val="none"/>
              </w:rPr>
            </w:pPr>
          </w:p>
        </w:tc>
        <w:tc>
          <w:tcPr>
            <w:tcW w:w="1618" w:type="dxa"/>
            <w:tcBorders>
              <w:left w:val="single" w:color="auto" w:sz="2" w:space="0"/>
            </w:tcBorders>
            <w:vAlign w:val="center"/>
          </w:tcPr>
          <w:p>
            <w:pPr>
              <w:shd w:val="clear"/>
              <w:wordWrap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见《投标文件》第</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19" w:type="dxa"/>
            <w:vAlign w:val="center"/>
          </w:tcPr>
          <w:p>
            <w:pPr>
              <w:numPr>
                <w:ilvl w:val="0"/>
                <w:numId w:val="154"/>
              </w:numPr>
              <w:shd w:val="clear"/>
              <w:wordWrap w:val="0"/>
              <w:jc w:val="center"/>
              <w:rPr>
                <w:rFonts w:hint="eastAsia" w:ascii="宋体" w:hAnsi="宋体" w:eastAsia="宋体" w:cs="宋体"/>
                <w:sz w:val="21"/>
                <w:szCs w:val="21"/>
                <w:highlight w:val="none"/>
              </w:rPr>
            </w:pPr>
          </w:p>
        </w:tc>
        <w:tc>
          <w:tcPr>
            <w:tcW w:w="4132" w:type="dxa"/>
            <w:vAlign w:val="center"/>
          </w:tcPr>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五、物业管理工作绩效考核办法</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（一）月度考核</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1.月度考核指标</w:t>
            </w:r>
          </w:p>
          <w:tbl>
            <w:tblPr>
              <w:tblStyle w:val="22"/>
              <w:tblW w:w="4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96"/>
              <w:gridCol w:w="351"/>
              <w:gridCol w:w="2152"/>
              <w:gridCol w:w="540"/>
              <w:gridCol w:w="8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296" w:type="dxa"/>
                  <w:tcBorders>
                    <w:tl2br w:val="nil"/>
                    <w:tr2bl w:val="nil"/>
                  </w:tcBorders>
                  <w:vAlign w:val="center"/>
                </w:tcPr>
                <w:p>
                  <w:pPr>
                    <w:shd w:val="clear"/>
                    <w:spacing w:line="22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类 别</w:t>
                  </w:r>
                </w:p>
              </w:tc>
              <w:tc>
                <w:tcPr>
                  <w:tcW w:w="351" w:type="dxa"/>
                  <w:tcBorders>
                    <w:tl2br w:val="nil"/>
                    <w:tr2bl w:val="nil"/>
                  </w:tcBorders>
                  <w:vAlign w:val="center"/>
                </w:tcPr>
                <w:p>
                  <w:pPr>
                    <w:shd w:val="clear"/>
                    <w:spacing w:line="22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2152" w:type="dxa"/>
                  <w:tcBorders>
                    <w:tl2br w:val="nil"/>
                    <w:tr2bl w:val="nil"/>
                  </w:tcBorders>
                  <w:vAlign w:val="center"/>
                </w:tcPr>
                <w:p>
                  <w:pPr>
                    <w:shd w:val="clear"/>
                    <w:spacing w:line="22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考核内容</w:t>
                  </w:r>
                </w:p>
              </w:tc>
              <w:tc>
                <w:tcPr>
                  <w:tcW w:w="540" w:type="dxa"/>
                  <w:tcBorders>
                    <w:tl2br w:val="nil"/>
                    <w:tr2bl w:val="nil"/>
                  </w:tcBorders>
                  <w:vAlign w:val="center"/>
                </w:tcPr>
                <w:p>
                  <w:pPr>
                    <w:shd w:val="clear"/>
                    <w:spacing w:line="22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扣减分数</w:t>
                  </w:r>
                </w:p>
              </w:tc>
              <w:tc>
                <w:tcPr>
                  <w:tcW w:w="870" w:type="dxa"/>
                  <w:tcBorders>
                    <w:tl2br w:val="nil"/>
                    <w:tr2bl w:val="nil"/>
                  </w:tcBorders>
                  <w:vAlign w:val="center"/>
                </w:tcPr>
                <w:p>
                  <w:pPr>
                    <w:shd w:val="clear"/>
                    <w:spacing w:line="22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评分依据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296" w:type="dxa"/>
                  <w:vMerge w:val="restart"/>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管理</w:t>
                  </w:r>
                </w:p>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w:t>
                  </w:r>
                </w:p>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质量</w:t>
                  </w: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物业服务不到位、不及时，被客户有效投诉，或对客户的相关投诉处理未跟踪解决。</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客户投诉，调查属实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6" w:type="dxa"/>
                  <w:vMerge w:val="continue"/>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未定期对客户进行走访、回访和意见调查(每月5户)，无相关记录。</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查被访客户及相关记录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97" w:hRule="atLeast"/>
                <w:jc w:val="center"/>
              </w:trPr>
              <w:tc>
                <w:tcPr>
                  <w:tcW w:w="296" w:type="dxa"/>
                  <w:vMerge w:val="continue"/>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办理客户入驻、接待装修申报及报修受理(当天)不及时。</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客户投诉，调查属</w:t>
                  </w:r>
                </w:p>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296" w:type="dxa"/>
                  <w:vMerge w:val="continue"/>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员工仪表仪容不整、行为不规范，未使用文明用语，不按规定制服着装、不佩带胸牌。</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定期检查和随机抽查培训记录、抽查现场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296" w:type="dxa"/>
                  <w:vMerge w:val="continue"/>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未对员工定期进行业务培训。</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抽查培训记录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296" w:type="dxa"/>
                  <w:vMerge w:val="continue"/>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未按要求、按时提交工作计划、工作报告、改进方案等</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定期检查和随机抽查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73" w:hRule="atLeast"/>
                <w:jc w:val="center"/>
              </w:trPr>
              <w:tc>
                <w:tcPr>
                  <w:tcW w:w="296" w:type="dxa"/>
                  <w:vMerge w:val="continue"/>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工作期间管理人员手机无法接通或不接听电话，对讲机呼叫无应答或对讲机处于关机状态。客服电话、24 小时服务电话长时间无法接通、无人接听</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296" w:type="dxa"/>
                  <w:vMerge w:val="continue"/>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未经招标人同意更换项目经理、主管人员</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296" w:type="dxa"/>
                  <w:vMerge w:val="continue"/>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可能影响园区、客户经营的重大事项（如消防、安防、供水供电设施损坏、园区发生消防、安防、停水停电事件等）未报告或隐瞒不报</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296" w:type="dxa"/>
                  <w:vMerge w:val="continue"/>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未经招标人同意擅自减少岗位编制，或未按合同要求配足人员的。</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296" w:type="dxa"/>
                  <w:vMerge w:val="restart"/>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工作</w:t>
                  </w:r>
                </w:p>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纪律</w:t>
                  </w: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未按时完成交办的工作任务，酿成不良后果</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查记录通知、现场工作记录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73" w:hRule="atLeast"/>
                <w:jc w:val="center"/>
              </w:trPr>
              <w:tc>
                <w:tcPr>
                  <w:tcW w:w="296" w:type="dxa"/>
                  <w:vMerge w:val="continue"/>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主管负责人督查不严，导致管理工作出现重大失误，影响招标人公司或园区形象、或造成较大经济损失</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296" w:type="dxa"/>
                  <w:vMerge w:val="continue"/>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当班饮酒或酒后上班。 注：若给招标人、租户、第三方造成损失的，另行处理</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296" w:type="dxa"/>
                  <w:vMerge w:val="continue"/>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当班期间串岗、脱岗、睡岗。注：若给招标人或租户造成损失的，另行处理</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296" w:type="dxa"/>
                  <w:vMerge w:val="continue"/>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当班吵架、打架、赌博。 注：情节严重者另行处理</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296" w:type="dxa"/>
                  <w:vMerge w:val="continue"/>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办公室内扎堆闲聊、上网游戏、看电影或在岗长时间聊私人电话</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296" w:type="dxa"/>
                  <w:vMerge w:val="continue"/>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未做到每月自检资料完整</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5" w:hRule="atLeast"/>
                <w:jc w:val="center"/>
              </w:trPr>
              <w:tc>
                <w:tcPr>
                  <w:tcW w:w="296" w:type="dxa"/>
                  <w:vMerge w:val="restart"/>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治安</w:t>
                  </w:r>
                </w:p>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安全</w:t>
                  </w:r>
                </w:p>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保卫</w:t>
                  </w: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园区发生重大安全事故(实行一票否决制，并追究主要责任人和直接责任人的责任)</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现场取证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97" w:hRule="atLeast"/>
                <w:jc w:val="center"/>
              </w:trPr>
              <w:tc>
                <w:tcPr>
                  <w:tcW w:w="296" w:type="dxa"/>
                  <w:vMerge w:val="continue"/>
                  <w:tcBorders>
                    <w:tl2br w:val="nil"/>
                    <w:tr2bl w:val="nil"/>
                  </w:tcBorders>
                  <w:vAlign w:val="bottom"/>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未做好园区内防火、防盗、防爆炸及预防治安案件的“四防”工作，每发生一起案件</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对园区内存在的安全隐患排查不力、整改措施不到位或整改措施计划未按期完成</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调查现场及整改计划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未执行（或执行不力）园区内安保的定期和不定期巡查，且巡查记录不全</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现场随机抽查、</w:t>
                  </w:r>
                </w:p>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3"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园区交付保管的固有资产失窃、损坏（经核算后赔付或修复）</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发生重大传染病疫情期间（或疫情防控期间），未按政府、园区相关规定做好防疫工作的</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296" w:type="dxa"/>
                  <w:vMerge w:val="restart"/>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费用</w:t>
                  </w:r>
                </w:p>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收取</w:t>
                  </w: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未建立各项收费台账，未保管好发票及收据</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查收费台账、发票、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45" w:hRule="atLeast"/>
                <w:jc w:val="center"/>
              </w:trPr>
              <w:tc>
                <w:tcPr>
                  <w:tcW w:w="296" w:type="dxa"/>
                  <w:vMerge w:val="continue"/>
                  <w:tcBorders>
                    <w:tl2br w:val="nil"/>
                    <w:tr2bl w:val="nil"/>
                  </w:tcBorders>
                  <w:vAlign w:val="bottom"/>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水电、租金、管理费催缴，客户通知情况、反馈情况未记录详细，未做到相关签收文件齐全，每月移交一次</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296" w:type="dxa"/>
                  <w:vMerge w:val="continue"/>
                  <w:tcBorders>
                    <w:tl2br w:val="nil"/>
                    <w:tr2bl w:val="nil"/>
                  </w:tcBorders>
                  <w:vAlign w:val="bottom"/>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未及时准确上报欠缴费租户名单明细，延时或不准确。</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查报表并登记上报时间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操作不当造成设备设施损坏，物品丢失</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6"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擅自允许非工作人员进入岗亭或休息室内。</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00"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未核对水电费抄表数据，出现错误导致客户投诉或拒缴水电费的(客户拒缴差额部分由物业管理公司负责协调解决)，每发生一起</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vMerge w:val="restart"/>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2152" w:type="dxa"/>
                  <w:vMerge w:val="restart"/>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贪污款项、乱收费</w:t>
                  </w:r>
                </w:p>
              </w:tc>
              <w:tc>
                <w:tcPr>
                  <w:tcW w:w="540" w:type="dxa"/>
                  <w:vMerge w:val="restart"/>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10分/次</w:t>
                  </w:r>
                </w:p>
              </w:tc>
              <w:tc>
                <w:tcPr>
                  <w:tcW w:w="870" w:type="dxa"/>
                  <w:vMerge w:val="restart"/>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有效投诉、现场取证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vMerge w:val="continue"/>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p>
              </w:tc>
              <w:tc>
                <w:tcPr>
                  <w:tcW w:w="2152" w:type="dxa"/>
                  <w:vMerge w:val="continue"/>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p>
              </w:tc>
              <w:tc>
                <w:tcPr>
                  <w:tcW w:w="540" w:type="dxa"/>
                  <w:vMerge w:val="continue"/>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p>
              </w:tc>
              <w:tc>
                <w:tcPr>
                  <w:tcW w:w="870" w:type="dxa"/>
                  <w:vMerge w:val="continue"/>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7" w:hRule="atLeast"/>
                <w:jc w:val="center"/>
              </w:trPr>
              <w:tc>
                <w:tcPr>
                  <w:tcW w:w="296" w:type="dxa"/>
                  <w:vMerge w:val="restart"/>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装修</w:t>
                  </w:r>
                </w:p>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管理</w:t>
                  </w:r>
                </w:p>
              </w:tc>
              <w:tc>
                <w:tcPr>
                  <w:tcW w:w="351" w:type="dxa"/>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毛坯场所管理巡查不力，场地垃圾堆积、闲杂人员聚焦、设备设施失修</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查记录、方案和现场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未办装修许可手续，私自动工装修，物业因巡查不力未及时发现和制止，酿成不良后果 10分/次 查装修登记、巡查记录及现场  </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查记录、方案和现场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对违章装修、违章搭建和影响房屋结构安全的装修未第一时间阻止，未及时上报管理单位</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因违规装修、违规施工造成的重大安全事故</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查记录、方案和现场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0" w:hRule="atLeast"/>
                <w:jc w:val="center"/>
              </w:trPr>
              <w:tc>
                <w:tcPr>
                  <w:tcW w:w="296" w:type="dxa"/>
                  <w:vMerge w:val="restart"/>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消防</w:t>
                  </w:r>
                </w:p>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管理</w:t>
                  </w: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未按要求设立专门消防专员，专员未持证上岗。</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查现场并调查取证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48" w:hRule="atLeast"/>
                <w:jc w:val="center"/>
              </w:trPr>
              <w:tc>
                <w:tcPr>
                  <w:tcW w:w="296" w:type="dxa"/>
                  <w:vMerge w:val="continue"/>
                  <w:tcBorders>
                    <w:tl2br w:val="nil"/>
                    <w:tr2bl w:val="nil"/>
                  </w:tcBorders>
                  <w:vAlign w:val="bottom"/>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未按要求建立义务消防员制，未明确火灾现场通信联络、灭火、疏散、救护、保卫等任务的负责人，未定期进行培训和演习</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现场随机抽查、 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92" w:hRule="atLeast"/>
                <w:jc w:val="center"/>
              </w:trPr>
              <w:tc>
                <w:tcPr>
                  <w:tcW w:w="296" w:type="dxa"/>
                  <w:vMerge w:val="continue"/>
                  <w:tcBorders>
                    <w:tl2br w:val="nil"/>
                    <w:tr2bl w:val="nil"/>
                  </w:tcBorders>
                  <w:vAlign w:val="bottom"/>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未按要求明确消防控制室管理值班人员的职责，未制订24小时值班制度和交接班的程序，值班记录不完整</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未按要求确保消防设施和消防电源始终处于正常运行状态；需要维修时，未采取相应的措施，维修完成后，未按要求立即恢复到正常运行状态的</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296" w:type="dxa"/>
                  <w:vMerge w:val="restart"/>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工程</w:t>
                  </w:r>
                </w:p>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管理</w:t>
                  </w: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未按要求建立健全园区各项设施、设备检查和维修整改记录、台账</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2分/项</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查台账、记录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1"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设备设施实行定期专项检查，未定期检查或无记录的</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查检查记录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296" w:type="dxa"/>
                  <w:vMerge w:val="continue"/>
                  <w:tcBorders>
                    <w:tl2br w:val="nil"/>
                    <w:tr2bl w:val="nil"/>
                  </w:tcBorders>
                  <w:vAlign w:val="bottom"/>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设施、设备维保不到位，不能正常使用</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加强园区各类设施、设备的巡检，确保安全运行无事故，每发生一起重大安全事故。</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查巡检记录和现场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客户报修（报修内容属实为前提）处理及时率未达到100%</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2分/百分点</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查记录、现场、客户投诉调查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各类设备定期维保完成率未达到100%</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2分/百分点</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查记录、现场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6" w:type="dxa"/>
                  <w:vMerge w:val="restart"/>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环境</w:t>
                  </w:r>
                </w:p>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卫生</w:t>
                  </w:r>
                </w:p>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绿化</w:t>
                  </w: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保持园区主要干道、各楼道（包括楼道内墙壁、门窗等广告的清理）、洗手间、电梯轿箱、水景的清洁卫生，未按要求、未按期打扫、清理或明显不清洁</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296" w:type="dxa"/>
                  <w:vMerge w:val="continue"/>
                  <w:tcBorders>
                    <w:tl2br w:val="nil"/>
                    <w:tr2bl w:val="nil"/>
                  </w:tcBorders>
                  <w:vAlign w:val="bottom"/>
                </w:tcPr>
                <w:p>
                  <w:pPr>
                    <w:shd w:val="clear"/>
                    <w:wordWrap w:val="0"/>
                    <w:spacing w:line="220" w:lineRule="exact"/>
                    <w:jc w:val="center"/>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楼道扶手及电梯轿箱抹擦和拖地，未按期打扫或明显不清洁</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定期检查或随机抽查现场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地下停车场、草坪灯、楼宇门、信报箱等未按期打扫或明显不清洁</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p>
                  <w:pPr>
                    <w:shd w:val="clear"/>
                    <w:spacing w:line="220" w:lineRule="exact"/>
                    <w:jc w:val="center"/>
                    <w:rPr>
                      <w:rFonts w:hint="eastAsia" w:ascii="宋体" w:hAnsi="宋体" w:eastAsia="宋体" w:cs="宋体"/>
                      <w:sz w:val="21"/>
                      <w:szCs w:val="21"/>
                      <w:highlight w:val="none"/>
                    </w:rPr>
                  </w:pP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指示标牌、垃圾箱及园区走廊等地面有明显浮尘或污迹</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2分/项</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定期检查或随机抽查现场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4"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因装修管理不力，装潢垃圾未按指定地点存放或未及时组织外运</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定期检查或随机抽查现场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9"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未及时与环卫部门联系，对园区各垃圾池、箱定期及时清理</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定期检查或随机抽查现场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2"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未定期清理屋顶露台，以防爆竹渣、塑</w:t>
                  </w:r>
                </w:p>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料袋等杂物堵塞下水口</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查记录、现场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4"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未按要求加强园区绿化的护理，定期浇水、施肥、剪枝、治虫</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定期检查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未做好垃圾分类及创文工作（包括对园区租户的宣传，相关标识的张贴等），未及时按照有关部门新发布的工作要求进行调整导致园区被扣分的</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2分/次</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定期检查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296" w:type="dxa"/>
                  <w:vMerge w:val="restart"/>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事项</w:t>
                  </w:r>
                </w:p>
              </w:tc>
              <w:tc>
                <w:tcPr>
                  <w:tcW w:w="351" w:type="dxa"/>
                  <w:tcBorders>
                    <w:tl2br w:val="nil"/>
                    <w:tr2bl w:val="nil"/>
                  </w:tcBorders>
                  <w:vAlign w:val="center"/>
                </w:tcPr>
                <w:p>
                  <w:pPr>
                    <w:shd w:val="clear"/>
                    <w:wordWrap w:val="0"/>
                    <w:spacing w:line="220" w:lineRule="exact"/>
                    <w:ind w:right="1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未履行或违反合同约定事项和管理要求事项，视情节轻重予以扣分</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5-10分/项</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抽查、查记录、现场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296" w:type="dxa"/>
                  <w:vMerge w:val="continue"/>
                  <w:tcBorders>
                    <w:tl2br w:val="nil"/>
                    <w:tr2bl w:val="nil"/>
                  </w:tcBorders>
                  <w:vAlign w:val="bottom"/>
                </w:tcPr>
                <w:p>
                  <w:pPr>
                    <w:shd w:val="clear"/>
                    <w:wordWrap w:val="0"/>
                    <w:spacing w:line="220" w:lineRule="exact"/>
                    <w:rPr>
                      <w:rFonts w:hint="eastAsia" w:ascii="宋体" w:hAnsi="宋体" w:eastAsia="宋体" w:cs="宋体"/>
                      <w:sz w:val="21"/>
                      <w:szCs w:val="21"/>
                      <w:highlight w:val="none"/>
                    </w:rPr>
                  </w:pPr>
                </w:p>
              </w:tc>
              <w:tc>
                <w:tcPr>
                  <w:tcW w:w="351" w:type="dxa"/>
                  <w:tcBorders>
                    <w:tl2br w:val="nil"/>
                    <w:tr2bl w:val="nil"/>
                  </w:tcBorders>
                  <w:vAlign w:val="center"/>
                </w:tcPr>
                <w:p>
                  <w:pPr>
                    <w:shd w:val="clear"/>
                    <w:wordWrap w:val="0"/>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2152" w:type="dxa"/>
                  <w:tcBorders>
                    <w:tl2br w:val="nil"/>
                    <w:tr2bl w:val="nil"/>
                  </w:tcBorders>
                  <w:vAlign w:val="center"/>
                </w:tcPr>
                <w:p>
                  <w:pPr>
                    <w:shd w:val="clear"/>
                    <w:wordWrap w:val="0"/>
                    <w:spacing w:line="2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对上述扣分事项，发出整改通知后未及时进行整改或采取整改措施的</w:t>
                  </w:r>
                </w:p>
              </w:tc>
              <w:tc>
                <w:tcPr>
                  <w:tcW w:w="54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5-10分/项</w:t>
                  </w:r>
                </w:p>
              </w:tc>
              <w:tc>
                <w:tcPr>
                  <w:tcW w:w="870" w:type="dxa"/>
                  <w:tcBorders>
                    <w:tl2br w:val="nil"/>
                    <w:tr2bl w:val="nil"/>
                  </w:tcBorders>
                  <w:vAlign w:val="center"/>
                </w:tcPr>
                <w:p>
                  <w:pPr>
                    <w:shd w:val="clear"/>
                    <w:spacing w:line="2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查记录</w:t>
                  </w:r>
                </w:p>
              </w:tc>
            </w:tr>
          </w:tbl>
          <w:p>
            <w:pPr>
              <w:pStyle w:val="2"/>
              <w:shd w:val="clear"/>
              <w:rPr>
                <w:rFonts w:hint="eastAsia" w:ascii="宋体" w:hAnsi="宋体" w:eastAsia="宋体" w:cs="宋体"/>
                <w:sz w:val="21"/>
                <w:szCs w:val="21"/>
                <w:highlight w:val="none"/>
              </w:rPr>
            </w:pPr>
          </w:p>
        </w:tc>
        <w:tc>
          <w:tcPr>
            <w:tcW w:w="1060" w:type="dxa"/>
            <w:vAlign w:val="center"/>
          </w:tcPr>
          <w:p>
            <w:pPr>
              <w:shd w:val="clear"/>
              <w:wordWrap w:val="0"/>
              <w:jc w:val="center"/>
              <w:rPr>
                <w:rFonts w:hint="eastAsia" w:ascii="宋体" w:hAnsi="宋体" w:eastAsia="宋体" w:cs="宋体"/>
                <w:sz w:val="21"/>
                <w:szCs w:val="21"/>
                <w:highlight w:val="none"/>
              </w:rPr>
            </w:pPr>
          </w:p>
        </w:tc>
        <w:tc>
          <w:tcPr>
            <w:tcW w:w="1694" w:type="dxa"/>
            <w:tcBorders>
              <w:right w:val="single" w:color="auto" w:sz="2" w:space="0"/>
            </w:tcBorders>
            <w:vAlign w:val="center"/>
          </w:tcPr>
          <w:p>
            <w:pPr>
              <w:shd w:val="clear"/>
              <w:wordWrap w:val="0"/>
              <w:jc w:val="center"/>
              <w:rPr>
                <w:rFonts w:hint="eastAsia" w:ascii="宋体" w:hAnsi="宋体" w:eastAsia="宋体" w:cs="宋体"/>
                <w:sz w:val="21"/>
                <w:szCs w:val="21"/>
                <w:highlight w:val="none"/>
              </w:rPr>
            </w:pPr>
          </w:p>
        </w:tc>
        <w:tc>
          <w:tcPr>
            <w:tcW w:w="1618" w:type="dxa"/>
            <w:tcBorders>
              <w:left w:val="single" w:color="auto" w:sz="2" w:space="0"/>
            </w:tcBorders>
            <w:vAlign w:val="center"/>
          </w:tcPr>
          <w:p>
            <w:pPr>
              <w:shd w:val="clear"/>
              <w:wordWrap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见《投标文件》第</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19" w:type="dxa"/>
            <w:vAlign w:val="center"/>
          </w:tcPr>
          <w:p>
            <w:pPr>
              <w:numPr>
                <w:ilvl w:val="0"/>
                <w:numId w:val="154"/>
              </w:numPr>
              <w:shd w:val="clear"/>
              <w:wordWrap w:val="0"/>
              <w:jc w:val="center"/>
              <w:rPr>
                <w:rFonts w:hint="eastAsia" w:ascii="宋体" w:hAnsi="宋体" w:eastAsia="宋体" w:cs="宋体"/>
                <w:sz w:val="21"/>
                <w:szCs w:val="21"/>
                <w:highlight w:val="none"/>
              </w:rPr>
            </w:pPr>
          </w:p>
        </w:tc>
        <w:tc>
          <w:tcPr>
            <w:tcW w:w="4132" w:type="dxa"/>
            <w:vAlign w:val="center"/>
          </w:tcPr>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六、履约保证金</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（一）</w:t>
            </w:r>
            <w:r>
              <w:rPr>
                <w:rFonts w:hint="eastAsia" w:ascii="宋体" w:hAnsi="宋体" w:eastAsia="宋体" w:cs="宋体"/>
                <w:kern w:val="0"/>
                <w:sz w:val="21"/>
                <w:szCs w:val="21"/>
                <w:highlight w:val="none"/>
              </w:rPr>
              <w:t>中标人需在合同签订之日起10个工作日内将履约保证金（合同总金额的5%）</w:t>
            </w:r>
            <w:r>
              <w:rPr>
                <w:rFonts w:hint="eastAsia" w:ascii="宋体" w:hAnsi="宋体" w:eastAsia="宋体" w:cs="宋体"/>
                <w:sz w:val="21"/>
                <w:szCs w:val="21"/>
                <w:highlight w:val="none"/>
              </w:rPr>
              <w:t>汇至招标人指定账户</w:t>
            </w:r>
            <w:r>
              <w:rPr>
                <w:rFonts w:hint="eastAsia" w:ascii="宋体" w:hAnsi="宋体" w:eastAsia="宋体" w:cs="宋体"/>
                <w:kern w:val="0"/>
                <w:sz w:val="21"/>
                <w:szCs w:val="21"/>
                <w:highlight w:val="none"/>
              </w:rPr>
              <w:t>，</w:t>
            </w:r>
            <w:r>
              <w:rPr>
                <w:rFonts w:hint="eastAsia" w:ascii="宋体" w:hAnsi="宋体" w:cs="宋体"/>
                <w:kern w:val="0"/>
                <w:szCs w:val="21"/>
                <w:highlight w:val="none"/>
                <w:lang w:eastAsia="zh-CN"/>
              </w:rPr>
              <w:t>招标人</w:t>
            </w:r>
            <w:r>
              <w:rPr>
                <w:rFonts w:hint="eastAsia" w:ascii="宋体" w:hAnsi="宋体" w:cs="宋体"/>
                <w:kern w:val="0"/>
                <w:szCs w:val="21"/>
                <w:highlight w:val="none"/>
              </w:rPr>
              <w:t>收取履约保证金后应向</w:t>
            </w:r>
            <w:r>
              <w:rPr>
                <w:rFonts w:hint="eastAsia" w:ascii="宋体" w:hAnsi="宋体" w:cs="宋体"/>
                <w:kern w:val="0"/>
                <w:szCs w:val="21"/>
                <w:highlight w:val="none"/>
                <w:lang w:eastAsia="zh-CN"/>
              </w:rPr>
              <w:t>中标人</w:t>
            </w:r>
            <w:r>
              <w:rPr>
                <w:rFonts w:hint="eastAsia" w:ascii="宋体" w:hAnsi="宋体" w:cs="宋体"/>
                <w:kern w:val="0"/>
                <w:szCs w:val="21"/>
                <w:highlight w:val="none"/>
              </w:rPr>
              <w:t>开具收款凭证。合同终止后在满足合同相关条款规定且</w:t>
            </w:r>
            <w:r>
              <w:rPr>
                <w:rFonts w:hint="eastAsia" w:ascii="宋体" w:hAnsi="宋体" w:cs="宋体"/>
                <w:kern w:val="0"/>
                <w:szCs w:val="21"/>
                <w:highlight w:val="none"/>
                <w:lang w:eastAsia="zh-CN"/>
              </w:rPr>
              <w:t>中标人</w:t>
            </w:r>
            <w:r>
              <w:rPr>
                <w:rFonts w:hint="eastAsia" w:ascii="宋体" w:hAnsi="宋体" w:cs="宋体"/>
                <w:kern w:val="0"/>
                <w:szCs w:val="21"/>
                <w:highlight w:val="none"/>
              </w:rPr>
              <w:t>已切实履行与本项目有关的涉及人、财、物、事的所有责任与义务，且合同期满并完成结算和移交工作（包括但不限于租赁物业装修资料，电梯、电房、可修复电器设备设施、消防器材、绿化、消杀等日常维护及检查工作记录）经</w:t>
            </w:r>
            <w:r>
              <w:rPr>
                <w:rFonts w:hint="eastAsia" w:ascii="宋体" w:hAnsi="宋体" w:cs="宋体"/>
                <w:kern w:val="0"/>
                <w:szCs w:val="21"/>
                <w:highlight w:val="none"/>
                <w:lang w:eastAsia="zh-CN"/>
              </w:rPr>
              <w:t>招标人</w:t>
            </w:r>
            <w:r>
              <w:rPr>
                <w:rFonts w:hint="eastAsia" w:ascii="宋体" w:hAnsi="宋体" w:cs="宋体"/>
                <w:kern w:val="0"/>
                <w:szCs w:val="21"/>
                <w:highlight w:val="none"/>
              </w:rPr>
              <w:t>确认之日起的60 天内，</w:t>
            </w:r>
            <w:r>
              <w:rPr>
                <w:rFonts w:hint="eastAsia" w:ascii="宋体" w:hAnsi="宋体" w:cs="宋体"/>
                <w:kern w:val="0"/>
                <w:szCs w:val="21"/>
                <w:highlight w:val="none"/>
                <w:lang w:eastAsia="zh-CN"/>
              </w:rPr>
              <w:t>中标人</w:t>
            </w:r>
            <w:r>
              <w:rPr>
                <w:rFonts w:hint="eastAsia" w:ascii="宋体" w:hAnsi="宋体" w:cs="宋体"/>
                <w:kern w:val="0"/>
                <w:szCs w:val="21"/>
                <w:highlight w:val="none"/>
              </w:rPr>
              <w:t>须携带收款凭证原件提交给</w:t>
            </w:r>
            <w:r>
              <w:rPr>
                <w:rFonts w:hint="eastAsia" w:ascii="宋体" w:hAnsi="宋体" w:cs="宋体"/>
                <w:kern w:val="0"/>
                <w:szCs w:val="21"/>
                <w:highlight w:val="none"/>
                <w:lang w:eastAsia="zh-CN"/>
              </w:rPr>
              <w:t>招标人</w:t>
            </w:r>
            <w:r>
              <w:rPr>
                <w:rFonts w:hint="eastAsia" w:ascii="宋体" w:hAnsi="宋体" w:cs="宋体"/>
                <w:kern w:val="0"/>
                <w:szCs w:val="21"/>
                <w:highlight w:val="none"/>
              </w:rPr>
              <w:t>，</w:t>
            </w:r>
            <w:r>
              <w:rPr>
                <w:rFonts w:hint="eastAsia" w:ascii="宋体" w:hAnsi="宋体" w:eastAsia="宋体" w:cs="宋体"/>
                <w:sz w:val="21"/>
                <w:szCs w:val="21"/>
                <w:highlight w:val="none"/>
              </w:rPr>
              <w:t>招标人应将履约保证金不计利息划回中标人账户。</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二）合同终止后若中标人有意拖延、拒绝履行与本项目有关的涉及人、财、物、事等方面责任与义务或处理不力时，招标人有权动用履约保证金，解决前述相关事项问题和偿付招标人因此造成的损失，中标人不得有异议。若履约保证金不足以偿付上述解决、处理费用以及招标人的损失时，中标人应继续承担赔偿责任。</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三）中标人必须在签订合同生效、收到招标人进场通知后15个日历天内按招标人要求配置齐全部人员、车辆和设备，同时承诺上述全部人员、车辆和设备必须专门用于本项目。否则，招标人有权没收中标人的履约保证金，并解除合同。</w:t>
            </w:r>
          </w:p>
        </w:tc>
        <w:tc>
          <w:tcPr>
            <w:tcW w:w="1060" w:type="dxa"/>
            <w:vAlign w:val="center"/>
          </w:tcPr>
          <w:p>
            <w:pPr>
              <w:shd w:val="clear"/>
              <w:wordWrap w:val="0"/>
              <w:jc w:val="center"/>
              <w:rPr>
                <w:rFonts w:hint="eastAsia" w:ascii="宋体" w:hAnsi="宋体" w:eastAsia="宋体" w:cs="宋体"/>
                <w:sz w:val="21"/>
                <w:szCs w:val="21"/>
                <w:highlight w:val="none"/>
              </w:rPr>
            </w:pPr>
          </w:p>
        </w:tc>
        <w:tc>
          <w:tcPr>
            <w:tcW w:w="1694" w:type="dxa"/>
            <w:tcBorders>
              <w:right w:val="single" w:color="auto" w:sz="2" w:space="0"/>
            </w:tcBorders>
            <w:vAlign w:val="center"/>
          </w:tcPr>
          <w:p>
            <w:pPr>
              <w:shd w:val="clear"/>
              <w:wordWrap w:val="0"/>
              <w:jc w:val="center"/>
              <w:rPr>
                <w:rFonts w:hint="eastAsia" w:ascii="宋体" w:hAnsi="宋体" w:eastAsia="宋体" w:cs="宋体"/>
                <w:sz w:val="21"/>
                <w:szCs w:val="21"/>
                <w:highlight w:val="none"/>
              </w:rPr>
            </w:pPr>
          </w:p>
        </w:tc>
        <w:tc>
          <w:tcPr>
            <w:tcW w:w="1618" w:type="dxa"/>
            <w:tcBorders>
              <w:left w:val="single" w:color="auto" w:sz="2" w:space="0"/>
            </w:tcBorders>
            <w:vAlign w:val="center"/>
          </w:tcPr>
          <w:p>
            <w:pPr>
              <w:shd w:val="clear"/>
              <w:wordWrap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见《投标文件》第</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19" w:type="dxa"/>
            <w:vAlign w:val="center"/>
          </w:tcPr>
          <w:p>
            <w:pPr>
              <w:numPr>
                <w:ilvl w:val="0"/>
                <w:numId w:val="154"/>
              </w:numPr>
              <w:shd w:val="clear"/>
              <w:wordWrap w:val="0"/>
              <w:jc w:val="center"/>
              <w:rPr>
                <w:rFonts w:hint="eastAsia" w:ascii="宋体" w:hAnsi="宋体" w:eastAsia="宋体" w:cs="宋体"/>
                <w:sz w:val="21"/>
                <w:szCs w:val="21"/>
                <w:highlight w:val="none"/>
              </w:rPr>
            </w:pPr>
          </w:p>
        </w:tc>
        <w:tc>
          <w:tcPr>
            <w:tcW w:w="4132" w:type="dxa"/>
            <w:vAlign w:val="center"/>
          </w:tcPr>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五、付款方式</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（一）合同生效后，招标人在服务期限内按月支付物业管理服务费。</w:t>
            </w:r>
            <w:r>
              <w:rPr>
                <w:rFonts w:hint="eastAsia" w:ascii="宋体" w:hAnsi="宋体" w:cs="宋体"/>
                <w:szCs w:val="21"/>
                <w:highlight w:val="none"/>
              </w:rPr>
              <w:t>结合物业管理服务质量考核情况、园区承担维修扣除费用情况</w:t>
            </w:r>
            <w:r>
              <w:rPr>
                <w:rFonts w:hint="eastAsia" w:ascii="宋体" w:hAnsi="宋体" w:cs="宋体"/>
                <w:szCs w:val="21"/>
                <w:highlight w:val="none"/>
                <w:lang w:eastAsia="zh-CN"/>
              </w:rPr>
              <w:t>，</w:t>
            </w:r>
            <w:r>
              <w:rPr>
                <w:rFonts w:hint="eastAsia" w:ascii="宋体" w:hAnsi="宋体" w:eastAsia="宋体" w:cs="宋体"/>
                <w:sz w:val="21"/>
                <w:szCs w:val="21"/>
                <w:highlight w:val="none"/>
              </w:rPr>
              <w:t>招标人收到中标人提交的依法纳税的有效等额服务费增值税专</w:t>
            </w:r>
            <w:r>
              <w:rPr>
                <w:rFonts w:hint="eastAsia" w:ascii="宋体" w:hAnsi="宋体" w:cs="宋体"/>
                <w:sz w:val="21"/>
                <w:szCs w:val="21"/>
                <w:highlight w:val="none"/>
                <w:lang w:val="en-US" w:eastAsia="zh-CN"/>
              </w:rPr>
              <w:t>用</w:t>
            </w:r>
            <w:r>
              <w:rPr>
                <w:rFonts w:hint="eastAsia" w:ascii="宋体" w:hAnsi="宋体" w:eastAsia="宋体" w:cs="宋体"/>
                <w:sz w:val="21"/>
                <w:szCs w:val="21"/>
                <w:highlight w:val="none"/>
              </w:rPr>
              <w:t>发票后，于每月的30日前支付上一个月的物管费用，物业管理服务费用以转账方式转入中标人的银行账户。</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（二）每月物业管理费用＝合同总价（2年服务期服务总费用）÷24个月-月度考核、招标人承担维修项目扣除的物业管理费（如有）。</w:t>
            </w:r>
          </w:p>
          <w:p>
            <w:pPr>
              <w:shd w:val="clear"/>
              <w:wordWrap w:val="0"/>
              <w:rPr>
                <w:rFonts w:hint="eastAsia" w:ascii="宋体" w:hAnsi="宋体" w:eastAsia="宋体" w:cs="宋体"/>
                <w:sz w:val="21"/>
                <w:szCs w:val="21"/>
                <w:highlight w:val="none"/>
              </w:rPr>
            </w:pPr>
            <w:r>
              <w:rPr>
                <w:rFonts w:hint="eastAsia" w:ascii="宋体" w:hAnsi="宋体" w:eastAsia="宋体" w:cs="宋体"/>
                <w:sz w:val="21"/>
                <w:szCs w:val="21"/>
                <w:highlight w:val="none"/>
              </w:rPr>
              <w:t>（三）中标人为招标人提供服务期间，有临时增加或超出本项目范围的费用，由双方另行商议。</w:t>
            </w:r>
            <w:r>
              <w:rPr>
                <w:rFonts w:hint="eastAsia" w:ascii="宋体" w:hAnsi="宋体" w:cs="宋体"/>
                <w:szCs w:val="21"/>
                <w:highlight w:val="none"/>
              </w:rPr>
              <w:t>未经</w:t>
            </w:r>
            <w:r>
              <w:rPr>
                <w:rFonts w:hint="eastAsia" w:ascii="宋体" w:hAnsi="宋体" w:cs="宋体"/>
                <w:szCs w:val="21"/>
                <w:highlight w:val="none"/>
                <w:lang w:eastAsia="zh-CN"/>
              </w:rPr>
              <w:t>招标人</w:t>
            </w:r>
            <w:r>
              <w:rPr>
                <w:rFonts w:hint="eastAsia" w:ascii="宋体" w:hAnsi="宋体" w:cs="宋体"/>
                <w:szCs w:val="21"/>
                <w:highlight w:val="none"/>
              </w:rPr>
              <w:t>书面同意，对于</w:t>
            </w:r>
            <w:r>
              <w:rPr>
                <w:rFonts w:hint="eastAsia" w:ascii="宋体" w:hAnsi="宋体" w:cs="宋体"/>
                <w:szCs w:val="21"/>
                <w:highlight w:val="none"/>
                <w:lang w:eastAsia="zh-CN"/>
              </w:rPr>
              <w:t>中标人</w:t>
            </w:r>
            <w:r>
              <w:rPr>
                <w:rFonts w:hint="eastAsia" w:ascii="宋体" w:hAnsi="宋体" w:cs="宋体"/>
                <w:szCs w:val="21"/>
                <w:highlight w:val="none"/>
              </w:rPr>
              <w:t>临时增加或超出本项目范围的费用，</w:t>
            </w:r>
            <w:r>
              <w:rPr>
                <w:rFonts w:hint="eastAsia" w:ascii="宋体" w:hAnsi="宋体" w:cs="宋体"/>
                <w:szCs w:val="21"/>
                <w:highlight w:val="none"/>
                <w:lang w:eastAsia="zh-CN"/>
              </w:rPr>
              <w:t>招标人</w:t>
            </w:r>
            <w:r>
              <w:rPr>
                <w:rFonts w:hint="eastAsia" w:ascii="宋体" w:hAnsi="宋体" w:cs="宋体"/>
                <w:szCs w:val="21"/>
                <w:highlight w:val="none"/>
              </w:rPr>
              <w:t>有权不承担。</w:t>
            </w:r>
          </w:p>
        </w:tc>
        <w:tc>
          <w:tcPr>
            <w:tcW w:w="1060" w:type="dxa"/>
            <w:vAlign w:val="center"/>
          </w:tcPr>
          <w:p>
            <w:pPr>
              <w:shd w:val="clear"/>
              <w:wordWrap w:val="0"/>
              <w:jc w:val="center"/>
              <w:rPr>
                <w:rFonts w:hint="eastAsia" w:ascii="宋体" w:hAnsi="宋体" w:eastAsia="宋体" w:cs="宋体"/>
                <w:sz w:val="21"/>
                <w:szCs w:val="21"/>
                <w:highlight w:val="none"/>
              </w:rPr>
            </w:pPr>
          </w:p>
        </w:tc>
        <w:tc>
          <w:tcPr>
            <w:tcW w:w="1694" w:type="dxa"/>
            <w:tcBorders>
              <w:right w:val="single" w:color="auto" w:sz="2" w:space="0"/>
            </w:tcBorders>
            <w:vAlign w:val="center"/>
          </w:tcPr>
          <w:p>
            <w:pPr>
              <w:shd w:val="clear"/>
              <w:wordWrap w:val="0"/>
              <w:jc w:val="center"/>
              <w:rPr>
                <w:rFonts w:hint="eastAsia" w:ascii="宋体" w:hAnsi="宋体" w:eastAsia="宋体" w:cs="宋体"/>
                <w:sz w:val="21"/>
                <w:szCs w:val="21"/>
                <w:highlight w:val="none"/>
              </w:rPr>
            </w:pPr>
          </w:p>
        </w:tc>
        <w:tc>
          <w:tcPr>
            <w:tcW w:w="1618" w:type="dxa"/>
            <w:tcBorders>
              <w:left w:val="single" w:color="auto" w:sz="2" w:space="0"/>
            </w:tcBorders>
            <w:vAlign w:val="center"/>
          </w:tcPr>
          <w:p>
            <w:pPr>
              <w:shd w:val="clear"/>
              <w:wordWrap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见《投标文件》第</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页</w:t>
            </w:r>
          </w:p>
        </w:tc>
      </w:tr>
    </w:tbl>
    <w:p>
      <w:pPr>
        <w:shd w:val="clear"/>
        <w:spacing w:line="400" w:lineRule="exact"/>
        <w:rPr>
          <w:rFonts w:ascii="宋体" w:hAnsi="宋体" w:cs="宋体"/>
          <w:szCs w:val="21"/>
          <w:highlight w:val="none"/>
        </w:rPr>
      </w:pPr>
      <w:r>
        <w:rPr>
          <w:rFonts w:hint="eastAsia" w:ascii="宋体" w:hAnsi="宋体" w:cs="宋体"/>
          <w:szCs w:val="21"/>
          <w:highlight w:val="none"/>
        </w:rPr>
        <w:t>说明：</w:t>
      </w:r>
    </w:p>
    <w:p>
      <w:pPr>
        <w:numPr>
          <w:ilvl w:val="0"/>
          <w:numId w:val="155"/>
        </w:numPr>
        <w:shd w:val="clear"/>
        <w:spacing w:line="400" w:lineRule="exact"/>
        <w:rPr>
          <w:rFonts w:ascii="宋体" w:hAnsi="宋体" w:cs="宋体"/>
          <w:szCs w:val="21"/>
          <w:highlight w:val="none"/>
        </w:rPr>
      </w:pPr>
      <w:r>
        <w:rPr>
          <w:rFonts w:hint="eastAsia" w:ascii="宋体" w:hAnsi="宋体" w:cs="宋体"/>
          <w:szCs w:val="21"/>
          <w:highlight w:val="none"/>
        </w:rPr>
        <w:t>投标人必须对应招标文件带“</w:t>
      </w:r>
      <w:r>
        <w:rPr>
          <w:rFonts w:hint="eastAsia" w:ascii="宋体" w:hAnsi="宋体" w:cs="宋体"/>
          <w:b/>
          <w:bCs/>
          <w:szCs w:val="21"/>
          <w:highlight w:val="none"/>
        </w:rPr>
        <w:t>★</w:t>
      </w:r>
      <w:r>
        <w:rPr>
          <w:rFonts w:hint="eastAsia" w:ascii="宋体" w:hAnsi="宋体" w:cs="宋体"/>
          <w:szCs w:val="21"/>
          <w:highlight w:val="none"/>
        </w:rPr>
        <w:t>”的实质性条款及商务要求逐条应答并按要求填写上表。</w:t>
      </w:r>
    </w:p>
    <w:p>
      <w:pPr>
        <w:numPr>
          <w:ilvl w:val="0"/>
          <w:numId w:val="155"/>
        </w:numPr>
        <w:shd w:val="clear"/>
        <w:spacing w:line="400" w:lineRule="exact"/>
        <w:rPr>
          <w:rFonts w:ascii="宋体" w:hAnsi="宋体" w:cs="宋体"/>
          <w:szCs w:val="21"/>
          <w:highlight w:val="none"/>
        </w:rPr>
      </w:pPr>
      <w:r>
        <w:rPr>
          <w:rFonts w:hint="eastAsia" w:ascii="宋体" w:hAnsi="宋体" w:cs="宋体"/>
          <w:szCs w:val="21"/>
          <w:highlight w:val="none"/>
        </w:rPr>
        <w:t>本表中“原条款描述”的条款与用户需求中的条款描述不一致的以用户需求中规定的为准。</w:t>
      </w:r>
    </w:p>
    <w:p>
      <w:pPr>
        <w:shd w:val="clear"/>
        <w:spacing w:line="500" w:lineRule="exact"/>
        <w:ind w:firstLine="109" w:firstLineChars="50"/>
        <w:rPr>
          <w:rFonts w:ascii="宋体" w:hAnsi="宋体" w:cs="宋体"/>
          <w:spacing w:val="4"/>
          <w:szCs w:val="21"/>
          <w:highlight w:val="none"/>
          <w:u w:val="single"/>
        </w:rPr>
      </w:pPr>
      <w:r>
        <w:rPr>
          <w:rFonts w:hint="eastAsia" w:ascii="宋体" w:hAnsi="宋体" w:cs="宋体"/>
          <w:spacing w:val="4"/>
          <w:szCs w:val="21"/>
          <w:highlight w:val="none"/>
        </w:rPr>
        <w:t>投标人名称（加盖公章）：</w:t>
      </w:r>
      <w:r>
        <w:rPr>
          <w:rFonts w:hint="eastAsia" w:ascii="宋体" w:hAnsi="宋体" w:cs="宋体"/>
          <w:spacing w:val="4"/>
          <w:szCs w:val="21"/>
          <w:highlight w:val="none"/>
          <w:u w:val="single"/>
        </w:rPr>
        <w:t xml:space="preserve">                      </w:t>
      </w:r>
    </w:p>
    <w:p>
      <w:pPr>
        <w:shd w:val="clear"/>
        <w:spacing w:line="500" w:lineRule="exact"/>
        <w:ind w:firstLine="105" w:firstLineChars="50"/>
        <w:rPr>
          <w:rFonts w:ascii="宋体" w:hAnsi="宋体" w:cs="宋体"/>
          <w:spacing w:val="4"/>
          <w:szCs w:val="21"/>
          <w:highlight w:val="none"/>
          <w:u w:val="single"/>
        </w:rPr>
      </w:pPr>
      <w:r>
        <w:rPr>
          <w:rFonts w:hint="eastAsia" w:ascii="宋体" w:hAnsi="宋体" w:cs="宋体"/>
          <w:szCs w:val="21"/>
          <w:highlight w:val="none"/>
        </w:rPr>
        <w:t>法定代表人或投标人授权代表（签名或盖章）：</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职务：</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日期</w:t>
      </w:r>
      <w:r>
        <w:rPr>
          <w:rFonts w:hint="eastAsia" w:ascii="宋体" w:hAnsi="宋体" w:cs="宋体"/>
          <w:spacing w:val="4"/>
          <w:szCs w:val="21"/>
          <w:highlight w:val="none"/>
          <w:u w:val="single"/>
        </w:rPr>
        <w:t xml:space="preserve">       </w:t>
      </w:r>
    </w:p>
    <w:p>
      <w:pPr>
        <w:shd w:val="clear"/>
        <w:spacing w:line="400" w:lineRule="exact"/>
        <w:rPr>
          <w:rFonts w:ascii="宋体" w:hAnsi="宋体" w:cs="宋体"/>
          <w:b/>
          <w:bCs/>
          <w:szCs w:val="21"/>
          <w:highlight w:val="none"/>
        </w:rPr>
        <w:sectPr>
          <w:pgSz w:w="11906" w:h="16838"/>
          <w:pgMar w:top="1440" w:right="1286" w:bottom="1440" w:left="1440" w:header="851" w:footer="992" w:gutter="0"/>
          <w:cols w:space="720" w:num="1"/>
          <w:docGrid w:type="lines" w:linePitch="312" w:charSpace="0"/>
        </w:sectPr>
      </w:pPr>
    </w:p>
    <w:p>
      <w:pPr>
        <w:numPr>
          <w:ilvl w:val="0"/>
          <w:numId w:val="147"/>
        </w:numPr>
        <w:shd w:val="clear"/>
        <w:spacing w:line="440" w:lineRule="exact"/>
        <w:rPr>
          <w:rFonts w:ascii="宋体" w:hAnsi="宋体" w:cs="宋体"/>
          <w:b/>
          <w:bCs/>
          <w:szCs w:val="21"/>
          <w:highlight w:val="none"/>
        </w:rPr>
      </w:pPr>
      <w:r>
        <w:rPr>
          <w:rFonts w:hint="eastAsia" w:ascii="宋体" w:hAnsi="宋体" w:cs="宋体"/>
          <w:b/>
          <w:bCs/>
          <w:szCs w:val="21"/>
          <w:highlight w:val="none"/>
        </w:rPr>
        <w:t xml:space="preserve"> </w:t>
      </w:r>
    </w:p>
    <w:p>
      <w:pPr>
        <w:pStyle w:val="5"/>
        <w:shd w:val="clear"/>
        <w:adjustRightInd w:val="0"/>
        <w:snapToGrid w:val="0"/>
        <w:spacing w:before="156" w:beforeLines="50" w:after="156" w:afterLines="50" w:line="360" w:lineRule="auto"/>
        <w:jc w:val="center"/>
        <w:rPr>
          <w:b w:val="0"/>
          <w:bCs w:val="0"/>
          <w:highlight w:val="none"/>
        </w:rPr>
      </w:pPr>
      <w:bookmarkStart w:id="127" w:name="_Toc275865611"/>
      <w:bookmarkStart w:id="128" w:name="_Toc192662843"/>
      <w:r>
        <w:rPr>
          <w:rFonts w:hint="eastAsia"/>
          <w:b w:val="0"/>
          <w:bCs w:val="0"/>
          <w:highlight w:val="none"/>
        </w:rPr>
        <w:t>投标分项报价表</w:t>
      </w:r>
      <w:bookmarkEnd w:id="127"/>
      <w:bookmarkEnd w:id="128"/>
    </w:p>
    <w:p>
      <w:pPr>
        <w:shd w:val="clear"/>
        <w:rPr>
          <w:rFonts w:ascii="宋体" w:hAnsi="宋体" w:cs="宋体"/>
          <w:szCs w:val="21"/>
          <w:highlight w:val="none"/>
        </w:rPr>
      </w:pPr>
      <w:r>
        <w:rPr>
          <w:rFonts w:hint="eastAsia" w:ascii="宋体" w:hAnsi="宋体" w:cs="宋体"/>
          <w:szCs w:val="21"/>
          <w:highlight w:val="none"/>
        </w:rPr>
        <w:t>投标人名称：                                                     项目编号：BDGZ2023024</w:t>
      </w:r>
    </w:p>
    <w:tbl>
      <w:tblPr>
        <w:tblStyle w:val="22"/>
        <w:tblpPr w:leftFromText="180" w:rightFromText="180" w:vertAnchor="text" w:tblpY="1"/>
        <w:tblOverlap w:val="never"/>
        <w:tblW w:w="942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2929"/>
        <w:gridCol w:w="1010"/>
        <w:gridCol w:w="969"/>
        <w:gridCol w:w="1228"/>
        <w:gridCol w:w="972"/>
        <w:gridCol w:w="12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1049" w:type="dxa"/>
            <w:vAlign w:val="center"/>
          </w:tcPr>
          <w:p>
            <w:pPr>
              <w:shd w:val="clear"/>
              <w:jc w:val="center"/>
              <w:rPr>
                <w:rFonts w:ascii="宋体" w:hAnsi="宋体" w:cs="宋体"/>
                <w:szCs w:val="21"/>
                <w:highlight w:val="none"/>
              </w:rPr>
            </w:pPr>
            <w:r>
              <w:rPr>
                <w:rFonts w:hint="eastAsia" w:ascii="宋体" w:hAnsi="宋体" w:cs="宋体"/>
                <w:szCs w:val="21"/>
                <w:highlight w:val="none"/>
              </w:rPr>
              <w:t>序号</w:t>
            </w:r>
          </w:p>
        </w:tc>
        <w:tc>
          <w:tcPr>
            <w:tcW w:w="2929" w:type="dxa"/>
            <w:vAlign w:val="center"/>
          </w:tcPr>
          <w:p>
            <w:pPr>
              <w:shd w:val="clear"/>
              <w:jc w:val="center"/>
              <w:rPr>
                <w:rFonts w:ascii="宋体" w:hAnsi="宋体" w:cs="宋体"/>
                <w:szCs w:val="21"/>
                <w:highlight w:val="none"/>
              </w:rPr>
            </w:pPr>
            <w:r>
              <w:rPr>
                <w:rFonts w:hint="eastAsia" w:ascii="宋体" w:hAnsi="宋体" w:cs="宋体"/>
                <w:szCs w:val="21"/>
                <w:highlight w:val="none"/>
              </w:rPr>
              <w:t>服务内容</w:t>
            </w:r>
          </w:p>
        </w:tc>
        <w:tc>
          <w:tcPr>
            <w:tcW w:w="1010" w:type="dxa"/>
            <w:vAlign w:val="center"/>
          </w:tcPr>
          <w:p>
            <w:pPr>
              <w:shd w:val="clear"/>
              <w:jc w:val="center"/>
              <w:rPr>
                <w:rFonts w:ascii="宋体" w:hAnsi="宋体" w:cs="宋体"/>
                <w:bCs/>
                <w:szCs w:val="21"/>
                <w:highlight w:val="none"/>
              </w:rPr>
            </w:pPr>
            <w:r>
              <w:rPr>
                <w:rFonts w:hint="eastAsia" w:ascii="宋体" w:hAnsi="宋体" w:cs="宋体"/>
                <w:bCs/>
                <w:szCs w:val="21"/>
                <w:highlight w:val="none"/>
              </w:rPr>
              <w:t>单位</w:t>
            </w:r>
          </w:p>
        </w:tc>
        <w:tc>
          <w:tcPr>
            <w:tcW w:w="969" w:type="dxa"/>
            <w:vAlign w:val="center"/>
          </w:tcPr>
          <w:p>
            <w:pPr>
              <w:shd w:val="clear"/>
              <w:jc w:val="center"/>
              <w:rPr>
                <w:rFonts w:ascii="宋体" w:hAnsi="宋体" w:cs="宋体"/>
                <w:bCs/>
                <w:szCs w:val="21"/>
                <w:highlight w:val="none"/>
              </w:rPr>
            </w:pPr>
            <w:r>
              <w:rPr>
                <w:rFonts w:hint="eastAsia" w:ascii="宋体" w:hAnsi="宋体" w:cs="宋体"/>
                <w:bCs/>
                <w:szCs w:val="21"/>
                <w:highlight w:val="none"/>
              </w:rPr>
              <w:t>数量</w:t>
            </w:r>
          </w:p>
        </w:tc>
        <w:tc>
          <w:tcPr>
            <w:tcW w:w="1228" w:type="dxa"/>
            <w:vAlign w:val="center"/>
          </w:tcPr>
          <w:p>
            <w:pPr>
              <w:shd w:val="clear"/>
              <w:jc w:val="center"/>
              <w:rPr>
                <w:rFonts w:ascii="宋体" w:hAnsi="宋体" w:cs="宋体"/>
                <w:szCs w:val="21"/>
                <w:highlight w:val="none"/>
              </w:rPr>
            </w:pPr>
            <w:r>
              <w:rPr>
                <w:rFonts w:hint="eastAsia" w:ascii="宋体" w:hAnsi="宋体" w:cs="宋体"/>
                <w:szCs w:val="21"/>
                <w:highlight w:val="none"/>
              </w:rPr>
              <w:t>单价</w:t>
            </w:r>
          </w:p>
        </w:tc>
        <w:tc>
          <w:tcPr>
            <w:tcW w:w="972" w:type="dxa"/>
            <w:vAlign w:val="center"/>
          </w:tcPr>
          <w:p>
            <w:pPr>
              <w:shd w:val="clear"/>
              <w:ind w:left="-92" w:leftChars="-44"/>
              <w:jc w:val="center"/>
              <w:rPr>
                <w:rFonts w:ascii="宋体" w:hAnsi="宋体" w:cs="宋体"/>
                <w:szCs w:val="21"/>
                <w:highlight w:val="none"/>
              </w:rPr>
            </w:pPr>
            <w:r>
              <w:rPr>
                <w:rFonts w:hint="eastAsia" w:ascii="宋体" w:hAnsi="宋体" w:cs="宋体"/>
                <w:szCs w:val="21"/>
                <w:highlight w:val="none"/>
              </w:rPr>
              <w:t>合计（元）</w:t>
            </w:r>
          </w:p>
        </w:tc>
        <w:tc>
          <w:tcPr>
            <w:tcW w:w="1267" w:type="dxa"/>
            <w:vAlign w:val="center"/>
          </w:tcPr>
          <w:p>
            <w:pPr>
              <w:shd w:val="clear"/>
              <w:ind w:left="-92" w:leftChars="-44"/>
              <w:jc w:val="center"/>
              <w:rPr>
                <w:rFonts w:ascii="宋体" w:hAnsi="宋体" w:cs="宋体"/>
                <w:szCs w:val="21"/>
                <w:highlight w:val="none"/>
              </w:rPr>
            </w:pPr>
            <w:r>
              <w:rPr>
                <w:rFonts w:hint="eastAsia" w:ascii="宋体" w:hAnsi="宋体" w:cs="宋体"/>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1049" w:type="dxa"/>
            <w:vAlign w:val="center"/>
          </w:tcPr>
          <w:p>
            <w:pPr>
              <w:shd w:val="clear"/>
              <w:jc w:val="center"/>
              <w:rPr>
                <w:rFonts w:ascii="宋体" w:hAnsi="宋体" w:cs="宋体"/>
                <w:szCs w:val="21"/>
                <w:highlight w:val="none"/>
              </w:rPr>
            </w:pPr>
            <w:r>
              <w:rPr>
                <w:rFonts w:hint="eastAsia" w:ascii="宋体" w:hAnsi="宋体" w:cs="宋体"/>
                <w:szCs w:val="21"/>
                <w:highlight w:val="none"/>
              </w:rPr>
              <w:t>1</w:t>
            </w:r>
          </w:p>
        </w:tc>
        <w:tc>
          <w:tcPr>
            <w:tcW w:w="2929" w:type="dxa"/>
            <w:vAlign w:val="center"/>
          </w:tcPr>
          <w:p>
            <w:pPr>
              <w:shd w:val="clear"/>
              <w:jc w:val="center"/>
              <w:rPr>
                <w:rFonts w:ascii="宋体" w:hAnsi="宋体" w:cs="宋体"/>
                <w:szCs w:val="21"/>
                <w:highlight w:val="none"/>
              </w:rPr>
            </w:pPr>
          </w:p>
        </w:tc>
        <w:tc>
          <w:tcPr>
            <w:tcW w:w="1010" w:type="dxa"/>
            <w:vAlign w:val="center"/>
          </w:tcPr>
          <w:p>
            <w:pPr>
              <w:shd w:val="clear"/>
              <w:jc w:val="center"/>
              <w:rPr>
                <w:rFonts w:ascii="宋体" w:hAnsi="宋体" w:cs="宋体"/>
                <w:bCs/>
                <w:szCs w:val="21"/>
                <w:highlight w:val="none"/>
              </w:rPr>
            </w:pPr>
          </w:p>
        </w:tc>
        <w:tc>
          <w:tcPr>
            <w:tcW w:w="969" w:type="dxa"/>
            <w:vAlign w:val="center"/>
          </w:tcPr>
          <w:p>
            <w:pPr>
              <w:shd w:val="clear"/>
              <w:jc w:val="center"/>
              <w:rPr>
                <w:rFonts w:ascii="宋体" w:hAnsi="宋体" w:cs="宋体"/>
                <w:bCs/>
                <w:szCs w:val="21"/>
                <w:highlight w:val="none"/>
              </w:rPr>
            </w:pPr>
          </w:p>
        </w:tc>
        <w:tc>
          <w:tcPr>
            <w:tcW w:w="1228" w:type="dxa"/>
            <w:vAlign w:val="center"/>
          </w:tcPr>
          <w:p>
            <w:pPr>
              <w:shd w:val="clear"/>
              <w:jc w:val="center"/>
              <w:rPr>
                <w:rFonts w:ascii="宋体" w:hAnsi="宋体" w:cs="宋体"/>
                <w:szCs w:val="21"/>
                <w:highlight w:val="none"/>
              </w:rPr>
            </w:pPr>
          </w:p>
        </w:tc>
        <w:tc>
          <w:tcPr>
            <w:tcW w:w="972" w:type="dxa"/>
            <w:vAlign w:val="center"/>
          </w:tcPr>
          <w:p>
            <w:pPr>
              <w:shd w:val="clear"/>
              <w:ind w:left="-92" w:leftChars="-44"/>
              <w:jc w:val="center"/>
              <w:rPr>
                <w:rFonts w:ascii="宋体" w:hAnsi="宋体" w:cs="宋体"/>
                <w:szCs w:val="21"/>
                <w:highlight w:val="none"/>
              </w:rPr>
            </w:pPr>
          </w:p>
        </w:tc>
        <w:tc>
          <w:tcPr>
            <w:tcW w:w="1267" w:type="dxa"/>
            <w:vAlign w:val="center"/>
          </w:tcPr>
          <w:p>
            <w:pPr>
              <w:shd w:val="clear"/>
              <w:ind w:left="-92" w:leftChars="-44"/>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1049" w:type="dxa"/>
            <w:vAlign w:val="center"/>
          </w:tcPr>
          <w:p>
            <w:pPr>
              <w:shd w:val="clear"/>
              <w:jc w:val="center"/>
              <w:rPr>
                <w:rFonts w:ascii="宋体" w:hAnsi="宋体" w:cs="宋体"/>
                <w:szCs w:val="21"/>
                <w:highlight w:val="none"/>
              </w:rPr>
            </w:pPr>
            <w:r>
              <w:rPr>
                <w:rFonts w:hint="eastAsia" w:ascii="宋体" w:hAnsi="宋体" w:cs="宋体"/>
                <w:szCs w:val="21"/>
                <w:highlight w:val="none"/>
              </w:rPr>
              <w:t>2</w:t>
            </w:r>
          </w:p>
        </w:tc>
        <w:tc>
          <w:tcPr>
            <w:tcW w:w="2929" w:type="dxa"/>
            <w:vAlign w:val="center"/>
          </w:tcPr>
          <w:p>
            <w:pPr>
              <w:shd w:val="clear"/>
              <w:jc w:val="center"/>
              <w:rPr>
                <w:rFonts w:ascii="宋体" w:hAnsi="宋体" w:cs="宋体"/>
                <w:szCs w:val="21"/>
                <w:highlight w:val="none"/>
              </w:rPr>
            </w:pPr>
          </w:p>
        </w:tc>
        <w:tc>
          <w:tcPr>
            <w:tcW w:w="1010" w:type="dxa"/>
            <w:vAlign w:val="center"/>
          </w:tcPr>
          <w:p>
            <w:pPr>
              <w:shd w:val="clear"/>
              <w:jc w:val="center"/>
              <w:rPr>
                <w:rFonts w:ascii="宋体" w:hAnsi="宋体" w:cs="宋体"/>
                <w:bCs/>
                <w:szCs w:val="21"/>
                <w:highlight w:val="none"/>
              </w:rPr>
            </w:pPr>
          </w:p>
        </w:tc>
        <w:tc>
          <w:tcPr>
            <w:tcW w:w="969" w:type="dxa"/>
            <w:vAlign w:val="center"/>
          </w:tcPr>
          <w:p>
            <w:pPr>
              <w:shd w:val="clear"/>
              <w:jc w:val="center"/>
              <w:rPr>
                <w:rFonts w:ascii="宋体" w:hAnsi="宋体" w:cs="宋体"/>
                <w:bCs/>
                <w:szCs w:val="21"/>
                <w:highlight w:val="none"/>
              </w:rPr>
            </w:pPr>
          </w:p>
        </w:tc>
        <w:tc>
          <w:tcPr>
            <w:tcW w:w="1228" w:type="dxa"/>
            <w:vAlign w:val="center"/>
          </w:tcPr>
          <w:p>
            <w:pPr>
              <w:shd w:val="clear"/>
              <w:jc w:val="center"/>
              <w:rPr>
                <w:rFonts w:ascii="宋体" w:hAnsi="宋体" w:cs="宋体"/>
                <w:szCs w:val="21"/>
                <w:highlight w:val="none"/>
              </w:rPr>
            </w:pPr>
          </w:p>
        </w:tc>
        <w:tc>
          <w:tcPr>
            <w:tcW w:w="972" w:type="dxa"/>
            <w:vAlign w:val="center"/>
          </w:tcPr>
          <w:p>
            <w:pPr>
              <w:shd w:val="clear"/>
              <w:ind w:left="-92" w:leftChars="-44"/>
              <w:jc w:val="center"/>
              <w:rPr>
                <w:rFonts w:ascii="宋体" w:hAnsi="宋体" w:cs="宋体"/>
                <w:szCs w:val="21"/>
                <w:highlight w:val="none"/>
              </w:rPr>
            </w:pPr>
          </w:p>
        </w:tc>
        <w:tc>
          <w:tcPr>
            <w:tcW w:w="1267" w:type="dxa"/>
            <w:vAlign w:val="center"/>
          </w:tcPr>
          <w:p>
            <w:pPr>
              <w:shd w:val="clear"/>
              <w:ind w:left="-92" w:leftChars="-44"/>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1049" w:type="dxa"/>
            <w:vAlign w:val="center"/>
          </w:tcPr>
          <w:p>
            <w:pPr>
              <w:shd w:val="clear"/>
              <w:jc w:val="center"/>
              <w:rPr>
                <w:rFonts w:ascii="宋体" w:hAnsi="宋体" w:cs="宋体"/>
                <w:szCs w:val="21"/>
                <w:highlight w:val="none"/>
              </w:rPr>
            </w:pPr>
            <w:r>
              <w:rPr>
                <w:rFonts w:hint="eastAsia" w:ascii="宋体" w:hAnsi="宋体" w:cs="宋体"/>
                <w:szCs w:val="21"/>
                <w:highlight w:val="none"/>
              </w:rPr>
              <w:t>……</w:t>
            </w:r>
          </w:p>
        </w:tc>
        <w:tc>
          <w:tcPr>
            <w:tcW w:w="2929" w:type="dxa"/>
            <w:vAlign w:val="center"/>
          </w:tcPr>
          <w:p>
            <w:pPr>
              <w:shd w:val="clear"/>
              <w:jc w:val="center"/>
              <w:rPr>
                <w:rFonts w:ascii="宋体" w:hAnsi="宋体" w:cs="宋体"/>
                <w:szCs w:val="21"/>
                <w:highlight w:val="none"/>
              </w:rPr>
            </w:pPr>
          </w:p>
        </w:tc>
        <w:tc>
          <w:tcPr>
            <w:tcW w:w="1010" w:type="dxa"/>
            <w:vAlign w:val="center"/>
          </w:tcPr>
          <w:p>
            <w:pPr>
              <w:shd w:val="clear"/>
              <w:jc w:val="center"/>
              <w:rPr>
                <w:rFonts w:ascii="宋体" w:hAnsi="宋体" w:cs="宋体"/>
                <w:bCs/>
                <w:szCs w:val="21"/>
                <w:highlight w:val="none"/>
              </w:rPr>
            </w:pPr>
          </w:p>
        </w:tc>
        <w:tc>
          <w:tcPr>
            <w:tcW w:w="969" w:type="dxa"/>
            <w:vAlign w:val="center"/>
          </w:tcPr>
          <w:p>
            <w:pPr>
              <w:shd w:val="clear"/>
              <w:jc w:val="center"/>
              <w:rPr>
                <w:rFonts w:ascii="宋体" w:hAnsi="宋体" w:cs="宋体"/>
                <w:bCs/>
                <w:szCs w:val="21"/>
                <w:highlight w:val="none"/>
              </w:rPr>
            </w:pPr>
          </w:p>
        </w:tc>
        <w:tc>
          <w:tcPr>
            <w:tcW w:w="1228" w:type="dxa"/>
            <w:vAlign w:val="center"/>
          </w:tcPr>
          <w:p>
            <w:pPr>
              <w:shd w:val="clear"/>
              <w:jc w:val="center"/>
              <w:rPr>
                <w:rFonts w:ascii="宋体" w:hAnsi="宋体" w:cs="宋体"/>
                <w:szCs w:val="21"/>
                <w:highlight w:val="none"/>
              </w:rPr>
            </w:pPr>
          </w:p>
        </w:tc>
        <w:tc>
          <w:tcPr>
            <w:tcW w:w="972" w:type="dxa"/>
            <w:vAlign w:val="center"/>
          </w:tcPr>
          <w:p>
            <w:pPr>
              <w:shd w:val="clear"/>
              <w:ind w:left="-92" w:leftChars="-44"/>
              <w:jc w:val="center"/>
              <w:rPr>
                <w:rFonts w:ascii="宋体" w:hAnsi="宋体" w:cs="宋体"/>
                <w:szCs w:val="21"/>
                <w:highlight w:val="none"/>
              </w:rPr>
            </w:pPr>
          </w:p>
        </w:tc>
        <w:tc>
          <w:tcPr>
            <w:tcW w:w="1267" w:type="dxa"/>
            <w:vAlign w:val="center"/>
          </w:tcPr>
          <w:p>
            <w:pPr>
              <w:shd w:val="clear"/>
              <w:ind w:left="-92" w:leftChars="-44"/>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1049" w:type="dxa"/>
            <w:vAlign w:val="center"/>
          </w:tcPr>
          <w:p>
            <w:pPr>
              <w:shd w:val="clear"/>
              <w:jc w:val="center"/>
              <w:rPr>
                <w:rFonts w:ascii="宋体" w:hAnsi="宋体" w:cs="宋体"/>
                <w:szCs w:val="21"/>
                <w:highlight w:val="none"/>
              </w:rPr>
            </w:pPr>
            <w:r>
              <w:rPr>
                <w:rFonts w:hint="eastAsia" w:ascii="宋体" w:hAnsi="宋体" w:cs="宋体"/>
                <w:szCs w:val="21"/>
                <w:highlight w:val="none"/>
              </w:rPr>
              <w:t>总计</w:t>
            </w:r>
          </w:p>
          <w:p>
            <w:pPr>
              <w:shd w:val="clear"/>
              <w:jc w:val="center"/>
              <w:rPr>
                <w:rFonts w:ascii="宋体" w:hAnsi="宋体" w:cs="宋体"/>
                <w:szCs w:val="21"/>
                <w:highlight w:val="none"/>
              </w:rPr>
            </w:pPr>
            <w:r>
              <w:rPr>
                <w:rFonts w:hint="eastAsia" w:ascii="宋体" w:hAnsi="宋体" w:cs="宋体"/>
                <w:b/>
                <w:szCs w:val="21"/>
                <w:highlight w:val="none"/>
              </w:rPr>
              <w:t>（元）</w:t>
            </w:r>
          </w:p>
        </w:tc>
        <w:tc>
          <w:tcPr>
            <w:tcW w:w="8375" w:type="dxa"/>
            <w:gridSpan w:val="6"/>
            <w:vAlign w:val="center"/>
          </w:tcPr>
          <w:p>
            <w:pPr>
              <w:shd w:val="clear"/>
              <w:ind w:left="-92" w:leftChars="-44"/>
              <w:jc w:val="left"/>
              <w:rPr>
                <w:rFonts w:ascii="宋体" w:hAnsi="宋体" w:cs="宋体"/>
                <w:szCs w:val="21"/>
                <w:highlight w:val="none"/>
              </w:rPr>
            </w:pPr>
            <w:r>
              <w:rPr>
                <w:rFonts w:hint="eastAsia" w:ascii="宋体" w:hAnsi="宋体" w:cs="宋体"/>
                <w:szCs w:val="21"/>
                <w:highlight w:val="none"/>
              </w:rPr>
              <w:t>￥：         大写：</w:t>
            </w:r>
          </w:p>
        </w:tc>
      </w:tr>
    </w:tbl>
    <w:p>
      <w:pPr>
        <w:shd w:val="clear"/>
        <w:spacing w:line="500" w:lineRule="exact"/>
        <w:rPr>
          <w:rFonts w:ascii="宋体" w:hAnsi="宋体" w:cs="宋体"/>
          <w:spacing w:val="4"/>
          <w:szCs w:val="21"/>
          <w:highlight w:val="none"/>
        </w:rPr>
      </w:pPr>
    </w:p>
    <w:p>
      <w:pPr>
        <w:shd w:val="clear"/>
        <w:spacing w:line="500" w:lineRule="exact"/>
        <w:rPr>
          <w:rFonts w:ascii="宋体" w:hAnsi="宋体" w:cs="宋体"/>
          <w:szCs w:val="21"/>
          <w:highlight w:val="none"/>
          <w:u w:val="single"/>
        </w:rPr>
      </w:pPr>
      <w:r>
        <w:rPr>
          <w:rFonts w:hint="eastAsia" w:ascii="宋体" w:hAnsi="宋体" w:cs="宋体"/>
          <w:spacing w:val="4"/>
          <w:szCs w:val="21"/>
          <w:highlight w:val="none"/>
        </w:rPr>
        <w:t>投标人名称（加盖公章）：</w:t>
      </w:r>
      <w:r>
        <w:rPr>
          <w:rFonts w:hint="eastAsia" w:ascii="宋体" w:hAnsi="宋体" w:cs="宋体"/>
          <w:spacing w:val="4"/>
          <w:szCs w:val="21"/>
          <w:highlight w:val="none"/>
          <w:u w:val="single"/>
        </w:rPr>
        <w:t xml:space="preserve">                             </w:t>
      </w:r>
    </w:p>
    <w:p>
      <w:pPr>
        <w:shd w:val="clear"/>
        <w:rPr>
          <w:rFonts w:ascii="宋体" w:hAnsi="宋体" w:cs="宋体"/>
          <w:spacing w:val="4"/>
          <w:szCs w:val="21"/>
          <w:highlight w:val="none"/>
        </w:rPr>
      </w:pPr>
    </w:p>
    <w:p>
      <w:pPr>
        <w:shd w:val="clear"/>
        <w:spacing w:line="520" w:lineRule="exact"/>
        <w:rPr>
          <w:rFonts w:ascii="宋体" w:hAnsi="宋体" w:cs="宋体"/>
          <w:spacing w:val="4"/>
          <w:szCs w:val="21"/>
          <w:highlight w:val="none"/>
        </w:rPr>
      </w:pPr>
      <w:r>
        <w:rPr>
          <w:rFonts w:hint="eastAsia" w:ascii="宋体" w:hAnsi="宋体" w:cs="宋体"/>
          <w:szCs w:val="21"/>
          <w:highlight w:val="none"/>
        </w:rPr>
        <w:t>法定代表人或投标人授权代表（签名或盖章）：</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职务：</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日期</w:t>
      </w:r>
      <w:r>
        <w:rPr>
          <w:rFonts w:hint="eastAsia" w:ascii="宋体" w:hAnsi="宋体" w:cs="宋体"/>
          <w:spacing w:val="4"/>
          <w:szCs w:val="21"/>
          <w:highlight w:val="none"/>
          <w:u w:val="single"/>
        </w:rPr>
        <w:t xml:space="preserve">         </w:t>
      </w:r>
    </w:p>
    <w:p>
      <w:pPr>
        <w:shd w:val="clear"/>
        <w:spacing w:line="400" w:lineRule="exact"/>
        <w:ind w:left="750" w:hanging="749" w:hangingChars="357"/>
        <w:rPr>
          <w:rFonts w:ascii="宋体" w:hAnsi="宋体" w:cs="宋体"/>
          <w:szCs w:val="21"/>
          <w:highlight w:val="none"/>
        </w:rPr>
      </w:pPr>
      <w:r>
        <w:rPr>
          <w:rFonts w:hint="eastAsia" w:ascii="宋体" w:hAnsi="宋体" w:cs="宋体"/>
          <w:szCs w:val="21"/>
          <w:highlight w:val="none"/>
        </w:rPr>
        <w:t>说明：</w:t>
      </w:r>
    </w:p>
    <w:p>
      <w:pPr>
        <w:numPr>
          <w:ilvl w:val="0"/>
          <w:numId w:val="156"/>
        </w:numPr>
        <w:shd w:val="clear"/>
        <w:spacing w:line="400" w:lineRule="exact"/>
        <w:rPr>
          <w:rFonts w:ascii="宋体" w:hAnsi="宋体" w:cs="宋体"/>
          <w:szCs w:val="21"/>
          <w:highlight w:val="none"/>
        </w:rPr>
      </w:pPr>
      <w:r>
        <w:rPr>
          <w:rFonts w:hint="eastAsia" w:ascii="宋体" w:hAnsi="宋体" w:cs="宋体"/>
          <w:szCs w:val="21"/>
          <w:highlight w:val="none"/>
        </w:rPr>
        <w:t>此表为《开标一览表(报价表)》的报价明细表。</w:t>
      </w:r>
    </w:p>
    <w:p>
      <w:pPr>
        <w:numPr>
          <w:ilvl w:val="0"/>
          <w:numId w:val="156"/>
        </w:numPr>
        <w:shd w:val="clear"/>
        <w:spacing w:line="400" w:lineRule="exact"/>
        <w:rPr>
          <w:rFonts w:ascii="宋体" w:hAnsi="宋体" w:cs="宋体"/>
          <w:szCs w:val="21"/>
          <w:highlight w:val="none"/>
        </w:rPr>
      </w:pPr>
      <w:r>
        <w:rPr>
          <w:rFonts w:hint="eastAsia" w:ascii="宋体" w:hAnsi="宋体" w:cs="宋体"/>
          <w:szCs w:val="21"/>
          <w:highlight w:val="none"/>
        </w:rPr>
        <w:t>所有价格均以人民币作为货币单位填写及计算。</w:t>
      </w:r>
    </w:p>
    <w:p>
      <w:pPr>
        <w:numPr>
          <w:ilvl w:val="0"/>
          <w:numId w:val="156"/>
        </w:numPr>
        <w:shd w:val="clear"/>
        <w:spacing w:line="400" w:lineRule="exact"/>
        <w:rPr>
          <w:rFonts w:ascii="宋体" w:hAnsi="宋体" w:cs="宋体"/>
          <w:szCs w:val="21"/>
          <w:highlight w:val="none"/>
        </w:rPr>
      </w:pPr>
      <w:r>
        <w:rPr>
          <w:rFonts w:hint="eastAsia" w:ascii="宋体" w:hAnsi="宋体" w:cs="宋体"/>
          <w:szCs w:val="21"/>
          <w:highlight w:val="none"/>
        </w:rPr>
        <w:t>该表格式仅作参考，投标人的详细报价表格式可自定。</w:t>
      </w:r>
    </w:p>
    <w:p>
      <w:pPr>
        <w:shd w:val="clear"/>
        <w:spacing w:line="400" w:lineRule="exact"/>
        <w:ind w:left="539" w:leftChars="200" w:hanging="119" w:hangingChars="57"/>
        <w:rPr>
          <w:rFonts w:ascii="宋体" w:hAnsi="宋体" w:cs="宋体"/>
          <w:szCs w:val="21"/>
          <w:highlight w:val="none"/>
        </w:rPr>
        <w:sectPr>
          <w:pgSz w:w="11906" w:h="16838"/>
          <w:pgMar w:top="1440" w:right="1286" w:bottom="1440" w:left="1440" w:header="851" w:footer="992" w:gutter="0"/>
          <w:cols w:space="720" w:num="1"/>
          <w:docGrid w:type="lines" w:linePitch="312" w:charSpace="0"/>
        </w:sectPr>
      </w:pPr>
    </w:p>
    <w:p>
      <w:pPr>
        <w:numPr>
          <w:ilvl w:val="0"/>
          <w:numId w:val="147"/>
        </w:numPr>
        <w:shd w:val="clear"/>
        <w:spacing w:line="440" w:lineRule="exact"/>
        <w:rPr>
          <w:rFonts w:ascii="宋体" w:hAnsi="宋体" w:cs="宋体"/>
          <w:bCs/>
          <w:szCs w:val="21"/>
          <w:highlight w:val="none"/>
        </w:rPr>
      </w:pPr>
      <w:bookmarkStart w:id="129" w:name="_Toc229227176"/>
      <w:r>
        <w:rPr>
          <w:rFonts w:hint="eastAsia" w:ascii="宋体" w:hAnsi="宋体" w:cs="宋体"/>
          <w:bCs/>
          <w:szCs w:val="21"/>
          <w:highlight w:val="none"/>
        </w:rPr>
        <w:t xml:space="preserve">    </w:t>
      </w:r>
    </w:p>
    <w:bookmarkEnd w:id="129"/>
    <w:p>
      <w:pPr>
        <w:pStyle w:val="5"/>
        <w:shd w:val="clear"/>
        <w:adjustRightInd w:val="0"/>
        <w:snapToGrid w:val="0"/>
        <w:spacing w:before="156" w:beforeLines="50" w:after="156" w:afterLines="50" w:line="360" w:lineRule="auto"/>
        <w:jc w:val="center"/>
        <w:rPr>
          <w:b w:val="0"/>
          <w:bCs w:val="0"/>
          <w:highlight w:val="none"/>
        </w:rPr>
      </w:pPr>
      <w:r>
        <w:rPr>
          <w:rFonts w:hint="eastAsia"/>
          <w:b w:val="0"/>
          <w:bCs w:val="0"/>
          <w:highlight w:val="none"/>
        </w:rPr>
        <w:t>用户需求书响应一览表</w:t>
      </w:r>
    </w:p>
    <w:p>
      <w:pPr>
        <w:shd w:val="clear"/>
        <w:spacing w:after="156" w:afterLines="50"/>
        <w:jc w:val="center"/>
        <w:outlineLvl w:val="2"/>
        <w:rPr>
          <w:rFonts w:ascii="宋体" w:hAnsi="宋体" w:cs="宋体"/>
          <w:szCs w:val="21"/>
          <w:highlight w:val="none"/>
        </w:rPr>
      </w:pPr>
      <w:r>
        <w:rPr>
          <w:rFonts w:hint="eastAsia" w:ascii="宋体" w:hAnsi="宋体" w:cs="宋体"/>
          <w:szCs w:val="21"/>
          <w:highlight w:val="none"/>
        </w:rPr>
        <w:t>投标人名称：                                                     项目编号：BDGZ2023024</w:t>
      </w:r>
    </w:p>
    <w:tbl>
      <w:tblPr>
        <w:tblStyle w:val="22"/>
        <w:tblW w:w="90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5"/>
        <w:gridCol w:w="2256"/>
        <w:gridCol w:w="2333"/>
        <w:gridCol w:w="2347"/>
        <w:gridCol w:w="15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35" w:type="dxa"/>
            <w:tcBorders>
              <w:top w:val="single" w:color="auto" w:sz="12" w:space="0"/>
              <w:bottom w:val="double" w:color="auto" w:sz="4" w:space="0"/>
            </w:tcBorders>
            <w:shd w:val="clear" w:color="auto" w:fill="EEECE1"/>
            <w:vAlign w:val="center"/>
          </w:tcPr>
          <w:p>
            <w:pPr>
              <w:shd w:val="clear"/>
              <w:adjustRightInd w:val="0"/>
              <w:snapToGrid w:val="0"/>
              <w:ind w:left="-71" w:leftChars="-34" w:right="-73" w:rightChars="-35"/>
              <w:jc w:val="center"/>
              <w:rPr>
                <w:rFonts w:ascii="宋体" w:hAnsi="宋体" w:cs="宋体"/>
                <w:szCs w:val="21"/>
                <w:highlight w:val="none"/>
              </w:rPr>
            </w:pPr>
            <w:r>
              <w:rPr>
                <w:rFonts w:hint="eastAsia" w:ascii="宋体" w:hAnsi="宋体" w:cs="宋体"/>
                <w:szCs w:val="21"/>
                <w:highlight w:val="none"/>
              </w:rPr>
              <w:t>序号</w:t>
            </w:r>
          </w:p>
        </w:tc>
        <w:tc>
          <w:tcPr>
            <w:tcW w:w="2256" w:type="dxa"/>
            <w:tcBorders>
              <w:top w:val="single" w:color="auto" w:sz="12" w:space="0"/>
              <w:bottom w:val="double" w:color="auto" w:sz="4" w:space="0"/>
            </w:tcBorders>
            <w:shd w:val="clear" w:color="auto" w:fill="EEECE1"/>
            <w:vAlign w:val="center"/>
          </w:tcPr>
          <w:p>
            <w:pPr>
              <w:shd w:val="clear"/>
              <w:adjustRightInd w:val="0"/>
              <w:snapToGrid w:val="0"/>
              <w:ind w:left="-71" w:leftChars="-34" w:right="-73" w:rightChars="-35"/>
              <w:jc w:val="center"/>
              <w:rPr>
                <w:rFonts w:ascii="宋体" w:hAnsi="宋体" w:cs="宋体"/>
                <w:szCs w:val="21"/>
                <w:highlight w:val="none"/>
              </w:rPr>
            </w:pPr>
            <w:r>
              <w:rPr>
                <w:rFonts w:hint="eastAsia" w:ascii="宋体" w:hAnsi="宋体" w:cs="宋体"/>
                <w:szCs w:val="21"/>
                <w:highlight w:val="none"/>
              </w:rPr>
              <w:t>招标文件条款描述</w:t>
            </w:r>
          </w:p>
        </w:tc>
        <w:tc>
          <w:tcPr>
            <w:tcW w:w="2333" w:type="dxa"/>
            <w:tcBorders>
              <w:top w:val="single" w:color="auto" w:sz="12" w:space="0"/>
              <w:bottom w:val="double" w:color="auto" w:sz="4" w:space="0"/>
            </w:tcBorders>
            <w:shd w:val="clear" w:color="auto" w:fill="EEECE1"/>
            <w:vAlign w:val="center"/>
          </w:tcPr>
          <w:p>
            <w:pPr>
              <w:shd w:val="clear"/>
              <w:adjustRightInd w:val="0"/>
              <w:snapToGrid w:val="0"/>
              <w:ind w:left="-71" w:leftChars="-34" w:right="-73" w:rightChars="-35"/>
              <w:jc w:val="center"/>
              <w:rPr>
                <w:rFonts w:ascii="宋体" w:hAnsi="宋体" w:cs="宋体"/>
                <w:szCs w:val="21"/>
                <w:highlight w:val="none"/>
              </w:rPr>
            </w:pPr>
            <w:r>
              <w:rPr>
                <w:rFonts w:hint="eastAsia" w:ascii="宋体" w:hAnsi="宋体" w:cs="宋体"/>
                <w:szCs w:val="21"/>
                <w:highlight w:val="none"/>
              </w:rPr>
              <w:t>投标人响应描述</w:t>
            </w:r>
          </w:p>
          <w:p>
            <w:pPr>
              <w:shd w:val="clear"/>
              <w:adjustRightInd w:val="0"/>
              <w:snapToGrid w:val="0"/>
              <w:ind w:left="-71" w:leftChars="-34" w:right="-73" w:rightChars="-35"/>
              <w:jc w:val="center"/>
              <w:rPr>
                <w:rFonts w:ascii="宋体" w:hAnsi="宋体" w:cs="宋体"/>
                <w:szCs w:val="21"/>
                <w:highlight w:val="none"/>
              </w:rPr>
            </w:pPr>
            <w:r>
              <w:rPr>
                <w:rFonts w:hint="eastAsia" w:ascii="宋体" w:hAnsi="宋体" w:cs="宋体"/>
                <w:b/>
                <w:bCs/>
                <w:szCs w:val="21"/>
                <w:highlight w:val="none"/>
              </w:rPr>
              <w:t>(投标人应按响应服务实际数据填写)</w:t>
            </w:r>
          </w:p>
        </w:tc>
        <w:tc>
          <w:tcPr>
            <w:tcW w:w="2347" w:type="dxa"/>
            <w:tcBorders>
              <w:top w:val="single" w:color="auto" w:sz="12" w:space="0"/>
              <w:bottom w:val="double" w:color="auto" w:sz="4" w:space="0"/>
            </w:tcBorders>
            <w:shd w:val="clear" w:color="auto" w:fill="EEECE1"/>
            <w:vAlign w:val="center"/>
          </w:tcPr>
          <w:p>
            <w:pPr>
              <w:shd w:val="clear"/>
              <w:adjustRightInd w:val="0"/>
              <w:snapToGrid w:val="0"/>
              <w:ind w:left="-71" w:leftChars="-34" w:right="-73" w:rightChars="-35"/>
              <w:jc w:val="center"/>
              <w:rPr>
                <w:rFonts w:ascii="宋体" w:hAnsi="宋体" w:cs="宋体"/>
                <w:szCs w:val="21"/>
                <w:highlight w:val="none"/>
              </w:rPr>
            </w:pPr>
            <w:r>
              <w:rPr>
                <w:rFonts w:hint="eastAsia" w:ascii="宋体" w:hAnsi="宋体" w:cs="宋体"/>
                <w:szCs w:val="21"/>
                <w:highlight w:val="none"/>
              </w:rPr>
              <w:t>偏离情况说明</w:t>
            </w:r>
          </w:p>
          <w:p>
            <w:pPr>
              <w:shd w:val="clear"/>
              <w:adjustRightInd w:val="0"/>
              <w:snapToGrid w:val="0"/>
              <w:jc w:val="center"/>
              <w:rPr>
                <w:rFonts w:ascii="宋体" w:hAnsi="宋体" w:cs="宋体"/>
                <w:b/>
                <w:szCs w:val="21"/>
                <w:highlight w:val="none"/>
              </w:rPr>
            </w:pPr>
            <w:r>
              <w:rPr>
                <w:rFonts w:hint="eastAsia" w:ascii="宋体" w:hAnsi="宋体" w:cs="宋体"/>
                <w:b/>
                <w:szCs w:val="21"/>
                <w:highlight w:val="none"/>
              </w:rPr>
              <w:t>（正偏离/完全响应/负偏离）</w:t>
            </w:r>
          </w:p>
        </w:tc>
        <w:tc>
          <w:tcPr>
            <w:tcW w:w="1555" w:type="dxa"/>
            <w:tcBorders>
              <w:top w:val="single" w:color="auto" w:sz="12" w:space="0"/>
              <w:bottom w:val="double" w:color="auto" w:sz="4" w:space="0"/>
            </w:tcBorders>
            <w:shd w:val="clear" w:color="auto" w:fill="EEECE1"/>
            <w:vAlign w:val="center"/>
          </w:tcPr>
          <w:p>
            <w:pPr>
              <w:shd w:val="clear"/>
              <w:adjustRightInd w:val="0"/>
              <w:snapToGrid w:val="0"/>
              <w:ind w:left="-71" w:leftChars="-34" w:right="-73" w:rightChars="-35"/>
              <w:jc w:val="center"/>
              <w:rPr>
                <w:rFonts w:ascii="宋体" w:hAnsi="宋体" w:cs="宋体"/>
                <w:szCs w:val="21"/>
                <w:highlight w:val="none"/>
              </w:rPr>
            </w:pPr>
            <w:r>
              <w:rPr>
                <w:rFonts w:hint="eastAsia" w:ascii="宋体" w:hAnsi="宋体" w:cs="宋体"/>
                <w:szCs w:val="21"/>
                <w:highlight w:val="none"/>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026" w:type="dxa"/>
            <w:gridSpan w:val="5"/>
            <w:vAlign w:val="center"/>
          </w:tcPr>
          <w:p>
            <w:pPr>
              <w:shd w:val="clear"/>
              <w:spacing w:line="400" w:lineRule="exact"/>
              <w:jc w:val="center"/>
              <w:rPr>
                <w:rFonts w:ascii="宋体" w:hAnsi="宋体" w:cs="宋体"/>
                <w:b/>
                <w:szCs w:val="21"/>
                <w:highlight w:val="none"/>
              </w:rPr>
            </w:pPr>
            <w:r>
              <w:rPr>
                <w:rFonts w:hint="eastAsia" w:ascii="宋体" w:hAnsi="宋体" w:cs="宋体"/>
                <w:b/>
                <w:szCs w:val="21"/>
                <w:highlight w:val="none"/>
              </w:rPr>
              <w:t>一般条款（除带“</w:t>
            </w:r>
            <w:r>
              <w:rPr>
                <w:rFonts w:hint="eastAsia" w:ascii="宋体" w:hAnsi="宋体" w:cs="宋体"/>
                <w:b/>
                <w:bCs/>
                <w:szCs w:val="21"/>
                <w:highlight w:val="none"/>
              </w:rPr>
              <w:t>★</w:t>
            </w:r>
            <w:r>
              <w:rPr>
                <w:rFonts w:hint="eastAsia" w:ascii="宋体" w:hAnsi="宋体" w:cs="宋体"/>
                <w:b/>
                <w:szCs w:val="21"/>
                <w:highlight w:val="none"/>
              </w:rPr>
              <w:t>”及商务要求之外的条款）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pPr>
              <w:numPr>
                <w:ilvl w:val="0"/>
                <w:numId w:val="157"/>
              </w:numPr>
              <w:shd w:val="clear"/>
              <w:jc w:val="center"/>
              <w:rPr>
                <w:rFonts w:ascii="宋体" w:hAnsi="宋体" w:cs="宋体"/>
                <w:szCs w:val="21"/>
                <w:highlight w:val="none"/>
              </w:rPr>
            </w:pPr>
          </w:p>
        </w:tc>
        <w:tc>
          <w:tcPr>
            <w:tcW w:w="2256" w:type="dxa"/>
            <w:vAlign w:val="center"/>
          </w:tcPr>
          <w:p>
            <w:pPr>
              <w:shd w:val="clear"/>
              <w:spacing w:line="400" w:lineRule="exact"/>
              <w:jc w:val="center"/>
              <w:rPr>
                <w:rFonts w:ascii="宋体" w:hAnsi="宋体" w:cs="宋体"/>
                <w:szCs w:val="21"/>
                <w:highlight w:val="none"/>
              </w:rPr>
            </w:pPr>
          </w:p>
        </w:tc>
        <w:tc>
          <w:tcPr>
            <w:tcW w:w="2333" w:type="dxa"/>
            <w:vAlign w:val="center"/>
          </w:tcPr>
          <w:p>
            <w:pPr>
              <w:shd w:val="clear"/>
              <w:spacing w:line="400" w:lineRule="exact"/>
              <w:jc w:val="center"/>
              <w:rPr>
                <w:rFonts w:ascii="宋体" w:hAnsi="宋体" w:cs="宋体"/>
                <w:szCs w:val="21"/>
                <w:highlight w:val="none"/>
              </w:rPr>
            </w:pPr>
          </w:p>
        </w:tc>
        <w:tc>
          <w:tcPr>
            <w:tcW w:w="2347" w:type="dxa"/>
            <w:vAlign w:val="center"/>
          </w:tcPr>
          <w:p>
            <w:pPr>
              <w:shd w:val="clear"/>
              <w:spacing w:line="400" w:lineRule="exact"/>
              <w:jc w:val="center"/>
              <w:rPr>
                <w:rFonts w:ascii="宋体" w:hAnsi="宋体" w:cs="宋体"/>
                <w:szCs w:val="21"/>
                <w:highlight w:val="none"/>
              </w:rPr>
            </w:pPr>
          </w:p>
        </w:tc>
        <w:tc>
          <w:tcPr>
            <w:tcW w:w="1555" w:type="dxa"/>
          </w:tcPr>
          <w:p>
            <w:pPr>
              <w:shd w:val="clear"/>
              <w:spacing w:line="400" w:lineRule="exact"/>
              <w:jc w:val="center"/>
              <w:rPr>
                <w:rFonts w:ascii="宋体" w:hAnsi="宋体" w:cs="宋体"/>
                <w:szCs w:val="21"/>
                <w:highlight w:val="none"/>
              </w:rPr>
            </w:pPr>
            <w:r>
              <w:rPr>
                <w:rFonts w:hint="eastAsia" w:ascii="宋体" w:hAnsi="宋体" w:cs="宋体"/>
                <w:szCs w:val="21"/>
                <w:highlight w:val="none"/>
              </w:rPr>
              <w:t>见《投标文件》第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pPr>
              <w:numPr>
                <w:ilvl w:val="0"/>
                <w:numId w:val="157"/>
              </w:numPr>
              <w:shd w:val="clear"/>
              <w:jc w:val="center"/>
              <w:rPr>
                <w:rFonts w:ascii="宋体" w:hAnsi="宋体" w:cs="宋体"/>
                <w:szCs w:val="21"/>
                <w:highlight w:val="none"/>
              </w:rPr>
            </w:pPr>
          </w:p>
        </w:tc>
        <w:tc>
          <w:tcPr>
            <w:tcW w:w="2256" w:type="dxa"/>
            <w:vAlign w:val="center"/>
          </w:tcPr>
          <w:p>
            <w:pPr>
              <w:shd w:val="clear"/>
              <w:spacing w:line="400" w:lineRule="exact"/>
              <w:jc w:val="center"/>
              <w:rPr>
                <w:rFonts w:ascii="宋体" w:hAnsi="宋体" w:cs="宋体"/>
                <w:szCs w:val="21"/>
                <w:highlight w:val="none"/>
              </w:rPr>
            </w:pPr>
          </w:p>
        </w:tc>
        <w:tc>
          <w:tcPr>
            <w:tcW w:w="2333" w:type="dxa"/>
            <w:vAlign w:val="center"/>
          </w:tcPr>
          <w:p>
            <w:pPr>
              <w:shd w:val="clear"/>
              <w:spacing w:line="400" w:lineRule="exact"/>
              <w:jc w:val="center"/>
              <w:rPr>
                <w:rFonts w:ascii="宋体" w:hAnsi="宋体" w:cs="宋体"/>
                <w:szCs w:val="21"/>
                <w:highlight w:val="none"/>
              </w:rPr>
            </w:pPr>
          </w:p>
        </w:tc>
        <w:tc>
          <w:tcPr>
            <w:tcW w:w="2347" w:type="dxa"/>
            <w:vAlign w:val="center"/>
          </w:tcPr>
          <w:p>
            <w:pPr>
              <w:shd w:val="clear"/>
              <w:spacing w:line="400" w:lineRule="exact"/>
              <w:jc w:val="center"/>
              <w:rPr>
                <w:rFonts w:ascii="宋体" w:hAnsi="宋体" w:cs="宋体"/>
                <w:szCs w:val="21"/>
                <w:highlight w:val="none"/>
              </w:rPr>
            </w:pPr>
          </w:p>
        </w:tc>
        <w:tc>
          <w:tcPr>
            <w:tcW w:w="1555" w:type="dxa"/>
          </w:tcPr>
          <w:p>
            <w:pPr>
              <w:shd w:val="clear"/>
              <w:spacing w:line="400" w:lineRule="exact"/>
              <w:jc w:val="center"/>
              <w:rPr>
                <w:rFonts w:ascii="宋体" w:hAnsi="宋体" w:cs="宋体"/>
                <w:szCs w:val="21"/>
                <w:highlight w:val="none"/>
              </w:rPr>
            </w:pPr>
            <w:r>
              <w:rPr>
                <w:rFonts w:hint="eastAsia" w:ascii="宋体" w:hAnsi="宋体" w:cs="宋体"/>
                <w:szCs w:val="21"/>
                <w:highlight w:val="none"/>
              </w:rPr>
              <w:t>见《投标文件》第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pPr>
              <w:numPr>
                <w:ilvl w:val="0"/>
                <w:numId w:val="157"/>
              </w:numPr>
              <w:shd w:val="clear"/>
              <w:jc w:val="center"/>
              <w:rPr>
                <w:rFonts w:ascii="宋体" w:hAnsi="宋体" w:cs="宋体"/>
                <w:szCs w:val="21"/>
                <w:highlight w:val="none"/>
              </w:rPr>
            </w:pPr>
          </w:p>
        </w:tc>
        <w:tc>
          <w:tcPr>
            <w:tcW w:w="2256" w:type="dxa"/>
            <w:vAlign w:val="center"/>
          </w:tcPr>
          <w:p>
            <w:pPr>
              <w:shd w:val="clear"/>
              <w:spacing w:line="400" w:lineRule="exact"/>
              <w:jc w:val="center"/>
              <w:rPr>
                <w:rFonts w:ascii="宋体" w:hAnsi="宋体" w:cs="宋体"/>
                <w:szCs w:val="21"/>
                <w:highlight w:val="none"/>
              </w:rPr>
            </w:pPr>
          </w:p>
        </w:tc>
        <w:tc>
          <w:tcPr>
            <w:tcW w:w="2333" w:type="dxa"/>
            <w:vAlign w:val="center"/>
          </w:tcPr>
          <w:p>
            <w:pPr>
              <w:shd w:val="clear"/>
              <w:spacing w:line="400" w:lineRule="exact"/>
              <w:jc w:val="center"/>
              <w:rPr>
                <w:rFonts w:ascii="宋体" w:hAnsi="宋体" w:cs="宋体"/>
                <w:szCs w:val="21"/>
                <w:highlight w:val="none"/>
              </w:rPr>
            </w:pPr>
          </w:p>
        </w:tc>
        <w:tc>
          <w:tcPr>
            <w:tcW w:w="2347" w:type="dxa"/>
            <w:vAlign w:val="center"/>
          </w:tcPr>
          <w:p>
            <w:pPr>
              <w:shd w:val="clear"/>
              <w:spacing w:line="400" w:lineRule="exact"/>
              <w:jc w:val="center"/>
              <w:rPr>
                <w:rFonts w:ascii="宋体" w:hAnsi="宋体" w:cs="宋体"/>
                <w:szCs w:val="21"/>
                <w:highlight w:val="none"/>
              </w:rPr>
            </w:pPr>
          </w:p>
        </w:tc>
        <w:tc>
          <w:tcPr>
            <w:tcW w:w="1555" w:type="dxa"/>
          </w:tcPr>
          <w:p>
            <w:pPr>
              <w:shd w:val="clear"/>
              <w:spacing w:line="400" w:lineRule="exact"/>
              <w:jc w:val="center"/>
              <w:rPr>
                <w:rFonts w:ascii="宋体" w:hAnsi="宋体" w:cs="宋体"/>
                <w:szCs w:val="21"/>
                <w:highlight w:val="none"/>
              </w:rPr>
            </w:pPr>
            <w:r>
              <w:rPr>
                <w:rFonts w:hint="eastAsia" w:ascii="宋体" w:hAnsi="宋体" w:cs="宋体"/>
                <w:szCs w:val="21"/>
                <w:highlight w:val="none"/>
              </w:rPr>
              <w:t>见《投标文件》第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pPr>
              <w:numPr>
                <w:ilvl w:val="0"/>
                <w:numId w:val="157"/>
              </w:numPr>
              <w:shd w:val="clear"/>
              <w:jc w:val="center"/>
              <w:rPr>
                <w:rFonts w:ascii="宋体" w:hAnsi="宋体" w:cs="宋体"/>
                <w:szCs w:val="21"/>
                <w:highlight w:val="none"/>
              </w:rPr>
            </w:pPr>
          </w:p>
        </w:tc>
        <w:tc>
          <w:tcPr>
            <w:tcW w:w="2256" w:type="dxa"/>
            <w:vAlign w:val="center"/>
          </w:tcPr>
          <w:p>
            <w:pPr>
              <w:shd w:val="clear"/>
              <w:spacing w:line="400" w:lineRule="exact"/>
              <w:jc w:val="center"/>
              <w:rPr>
                <w:rFonts w:ascii="宋体" w:hAnsi="宋体" w:cs="宋体"/>
                <w:szCs w:val="21"/>
                <w:highlight w:val="none"/>
              </w:rPr>
            </w:pPr>
          </w:p>
        </w:tc>
        <w:tc>
          <w:tcPr>
            <w:tcW w:w="2333" w:type="dxa"/>
            <w:vAlign w:val="center"/>
          </w:tcPr>
          <w:p>
            <w:pPr>
              <w:shd w:val="clear"/>
              <w:spacing w:line="400" w:lineRule="exact"/>
              <w:jc w:val="center"/>
              <w:rPr>
                <w:rFonts w:ascii="宋体" w:hAnsi="宋体" w:cs="宋体"/>
                <w:szCs w:val="21"/>
                <w:highlight w:val="none"/>
              </w:rPr>
            </w:pPr>
          </w:p>
        </w:tc>
        <w:tc>
          <w:tcPr>
            <w:tcW w:w="2347" w:type="dxa"/>
            <w:vAlign w:val="center"/>
          </w:tcPr>
          <w:p>
            <w:pPr>
              <w:shd w:val="clear"/>
              <w:spacing w:line="400" w:lineRule="exact"/>
              <w:jc w:val="center"/>
              <w:rPr>
                <w:rFonts w:ascii="宋体" w:hAnsi="宋体" w:cs="宋体"/>
                <w:szCs w:val="21"/>
                <w:highlight w:val="none"/>
              </w:rPr>
            </w:pPr>
          </w:p>
        </w:tc>
        <w:tc>
          <w:tcPr>
            <w:tcW w:w="1555" w:type="dxa"/>
          </w:tcPr>
          <w:p>
            <w:pPr>
              <w:shd w:val="clear"/>
              <w:spacing w:line="400" w:lineRule="exact"/>
              <w:jc w:val="center"/>
              <w:rPr>
                <w:rFonts w:ascii="宋体" w:hAnsi="宋体" w:cs="宋体"/>
                <w:szCs w:val="21"/>
                <w:highlight w:val="none"/>
              </w:rPr>
            </w:pPr>
            <w:r>
              <w:rPr>
                <w:rFonts w:hint="eastAsia" w:ascii="宋体" w:hAnsi="宋体" w:cs="宋体"/>
                <w:szCs w:val="21"/>
                <w:highlight w:val="none"/>
              </w:rPr>
              <w:t>见《投标文件》第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pPr>
              <w:numPr>
                <w:ilvl w:val="0"/>
                <w:numId w:val="157"/>
              </w:numPr>
              <w:shd w:val="clear"/>
              <w:jc w:val="center"/>
              <w:rPr>
                <w:rFonts w:ascii="宋体" w:hAnsi="宋体" w:cs="宋体"/>
                <w:szCs w:val="21"/>
                <w:highlight w:val="none"/>
              </w:rPr>
            </w:pPr>
          </w:p>
        </w:tc>
        <w:tc>
          <w:tcPr>
            <w:tcW w:w="2256" w:type="dxa"/>
            <w:vAlign w:val="center"/>
          </w:tcPr>
          <w:p>
            <w:pPr>
              <w:shd w:val="clear"/>
              <w:spacing w:line="400" w:lineRule="exact"/>
              <w:jc w:val="center"/>
              <w:rPr>
                <w:rFonts w:ascii="宋体" w:hAnsi="宋体" w:cs="宋体"/>
                <w:szCs w:val="21"/>
                <w:highlight w:val="none"/>
              </w:rPr>
            </w:pPr>
          </w:p>
        </w:tc>
        <w:tc>
          <w:tcPr>
            <w:tcW w:w="2333" w:type="dxa"/>
            <w:vAlign w:val="center"/>
          </w:tcPr>
          <w:p>
            <w:pPr>
              <w:shd w:val="clear"/>
              <w:spacing w:line="400" w:lineRule="exact"/>
              <w:jc w:val="center"/>
              <w:rPr>
                <w:rFonts w:ascii="宋体" w:hAnsi="宋体" w:cs="宋体"/>
                <w:szCs w:val="21"/>
                <w:highlight w:val="none"/>
              </w:rPr>
            </w:pPr>
          </w:p>
        </w:tc>
        <w:tc>
          <w:tcPr>
            <w:tcW w:w="2347" w:type="dxa"/>
            <w:vAlign w:val="center"/>
          </w:tcPr>
          <w:p>
            <w:pPr>
              <w:shd w:val="clear"/>
              <w:spacing w:line="400" w:lineRule="exact"/>
              <w:jc w:val="center"/>
              <w:rPr>
                <w:rFonts w:ascii="宋体" w:hAnsi="宋体" w:cs="宋体"/>
                <w:szCs w:val="21"/>
                <w:highlight w:val="none"/>
              </w:rPr>
            </w:pPr>
          </w:p>
        </w:tc>
        <w:tc>
          <w:tcPr>
            <w:tcW w:w="1555" w:type="dxa"/>
          </w:tcPr>
          <w:p>
            <w:pPr>
              <w:shd w:val="clear"/>
              <w:spacing w:line="400" w:lineRule="exact"/>
              <w:jc w:val="center"/>
              <w:rPr>
                <w:rFonts w:ascii="宋体" w:hAnsi="宋体" w:cs="宋体"/>
                <w:szCs w:val="21"/>
                <w:highlight w:val="none"/>
              </w:rPr>
            </w:pPr>
            <w:r>
              <w:rPr>
                <w:rFonts w:hint="eastAsia" w:ascii="宋体" w:hAnsi="宋体" w:cs="宋体"/>
                <w:szCs w:val="21"/>
                <w:highlight w:val="none"/>
              </w:rPr>
              <w:t>见《投标文件》第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pPr>
              <w:numPr>
                <w:ilvl w:val="0"/>
                <w:numId w:val="157"/>
              </w:numPr>
              <w:shd w:val="clear"/>
              <w:jc w:val="center"/>
              <w:rPr>
                <w:rFonts w:ascii="宋体" w:hAnsi="宋体" w:cs="宋体"/>
                <w:szCs w:val="21"/>
                <w:highlight w:val="none"/>
              </w:rPr>
            </w:pPr>
          </w:p>
        </w:tc>
        <w:tc>
          <w:tcPr>
            <w:tcW w:w="2256" w:type="dxa"/>
            <w:vAlign w:val="center"/>
          </w:tcPr>
          <w:p>
            <w:pPr>
              <w:shd w:val="clear"/>
              <w:spacing w:line="400" w:lineRule="exact"/>
              <w:jc w:val="center"/>
              <w:rPr>
                <w:rFonts w:ascii="宋体" w:hAnsi="宋体" w:cs="宋体"/>
                <w:szCs w:val="21"/>
                <w:highlight w:val="none"/>
              </w:rPr>
            </w:pPr>
          </w:p>
        </w:tc>
        <w:tc>
          <w:tcPr>
            <w:tcW w:w="2333" w:type="dxa"/>
            <w:vAlign w:val="center"/>
          </w:tcPr>
          <w:p>
            <w:pPr>
              <w:shd w:val="clear"/>
              <w:spacing w:line="400" w:lineRule="exact"/>
              <w:jc w:val="center"/>
              <w:rPr>
                <w:rFonts w:ascii="宋体" w:hAnsi="宋体" w:cs="宋体"/>
                <w:szCs w:val="21"/>
                <w:highlight w:val="none"/>
              </w:rPr>
            </w:pPr>
          </w:p>
        </w:tc>
        <w:tc>
          <w:tcPr>
            <w:tcW w:w="2347" w:type="dxa"/>
            <w:vAlign w:val="center"/>
          </w:tcPr>
          <w:p>
            <w:pPr>
              <w:shd w:val="clear"/>
              <w:spacing w:line="400" w:lineRule="exact"/>
              <w:jc w:val="center"/>
              <w:rPr>
                <w:rFonts w:ascii="宋体" w:hAnsi="宋体" w:cs="宋体"/>
                <w:szCs w:val="21"/>
                <w:highlight w:val="none"/>
              </w:rPr>
            </w:pPr>
          </w:p>
        </w:tc>
        <w:tc>
          <w:tcPr>
            <w:tcW w:w="1555" w:type="dxa"/>
          </w:tcPr>
          <w:p>
            <w:pPr>
              <w:shd w:val="clear"/>
              <w:spacing w:line="400" w:lineRule="exact"/>
              <w:jc w:val="center"/>
              <w:rPr>
                <w:rFonts w:ascii="宋体" w:hAnsi="宋体" w:cs="宋体"/>
                <w:szCs w:val="21"/>
                <w:highlight w:val="none"/>
              </w:rPr>
            </w:pPr>
            <w:r>
              <w:rPr>
                <w:rFonts w:hint="eastAsia" w:ascii="宋体" w:hAnsi="宋体" w:cs="宋体"/>
                <w:szCs w:val="21"/>
                <w:highlight w:val="none"/>
              </w:rPr>
              <w:t>见《投标文件》第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bl>
    <w:p>
      <w:pPr>
        <w:shd w:val="clear"/>
        <w:adjustRightInd w:val="0"/>
        <w:snapToGrid w:val="0"/>
        <w:spacing w:line="460" w:lineRule="exact"/>
        <w:rPr>
          <w:rFonts w:ascii="宋体" w:hAnsi="宋体" w:cs="宋体"/>
          <w:szCs w:val="21"/>
          <w:highlight w:val="none"/>
        </w:rPr>
      </w:pPr>
      <w:r>
        <w:rPr>
          <w:rFonts w:hint="eastAsia" w:ascii="宋体" w:hAnsi="宋体" w:cs="宋体"/>
          <w:szCs w:val="21"/>
          <w:highlight w:val="none"/>
        </w:rPr>
        <w:t>备注：</w:t>
      </w:r>
    </w:p>
    <w:p>
      <w:pPr>
        <w:numPr>
          <w:ilvl w:val="0"/>
          <w:numId w:val="158"/>
        </w:numPr>
        <w:shd w:val="clear"/>
        <w:adjustRightInd w:val="0"/>
        <w:snapToGrid w:val="0"/>
        <w:spacing w:line="460" w:lineRule="exact"/>
        <w:rPr>
          <w:rFonts w:ascii="宋体" w:hAnsi="宋体" w:cs="宋体"/>
          <w:szCs w:val="21"/>
          <w:highlight w:val="none"/>
        </w:rPr>
      </w:pPr>
      <w:r>
        <w:rPr>
          <w:rFonts w:hint="eastAsia" w:ascii="宋体" w:hAnsi="宋体" w:cs="宋体"/>
          <w:szCs w:val="21"/>
          <w:highlight w:val="none"/>
        </w:rPr>
        <w:t>投标人必须对应招标文件一般条款（除带“★”及商务要求之外的条款）逐条应答并按要求填写上表</w:t>
      </w:r>
    </w:p>
    <w:p>
      <w:pPr>
        <w:numPr>
          <w:ilvl w:val="0"/>
          <w:numId w:val="158"/>
        </w:numPr>
        <w:shd w:val="clear"/>
        <w:adjustRightInd w:val="0"/>
        <w:snapToGrid w:val="0"/>
        <w:spacing w:line="460" w:lineRule="exact"/>
        <w:rPr>
          <w:rFonts w:ascii="宋体" w:hAnsi="宋体" w:cs="宋体"/>
          <w:szCs w:val="21"/>
          <w:highlight w:val="none"/>
        </w:rPr>
      </w:pPr>
      <w:r>
        <w:rPr>
          <w:rFonts w:hint="eastAsia" w:ascii="宋体" w:hAnsi="宋体" w:cs="宋体"/>
          <w:kern w:val="0"/>
          <w:szCs w:val="21"/>
          <w:highlight w:val="none"/>
        </w:rPr>
        <w:t>用户需求中要求提供的相关证明资料必须一并提供，否则视为不响应。</w:t>
      </w:r>
    </w:p>
    <w:p>
      <w:pPr>
        <w:numPr>
          <w:ilvl w:val="0"/>
          <w:numId w:val="158"/>
        </w:numPr>
        <w:shd w:val="clear"/>
        <w:adjustRightInd w:val="0"/>
        <w:snapToGrid w:val="0"/>
        <w:spacing w:line="460" w:lineRule="exact"/>
        <w:rPr>
          <w:rFonts w:ascii="宋体" w:hAnsi="宋体" w:cs="宋体"/>
          <w:b/>
          <w:szCs w:val="21"/>
          <w:highlight w:val="none"/>
        </w:rPr>
      </w:pPr>
      <w:r>
        <w:rPr>
          <w:rFonts w:hint="eastAsia" w:ascii="宋体" w:hAnsi="宋体" w:cs="宋体"/>
          <w:b/>
          <w:szCs w:val="21"/>
          <w:highlight w:val="none"/>
        </w:rPr>
        <w:t>“</w:t>
      </w:r>
      <w:r>
        <w:rPr>
          <w:rFonts w:hint="eastAsia" w:ascii="宋体" w:hAnsi="宋体" w:cs="宋体"/>
          <w:szCs w:val="21"/>
          <w:highlight w:val="none"/>
        </w:rPr>
        <w:t>原条款描述</w:t>
      </w:r>
      <w:r>
        <w:rPr>
          <w:rFonts w:hint="eastAsia" w:ascii="宋体" w:hAnsi="宋体" w:cs="宋体"/>
          <w:b/>
          <w:szCs w:val="21"/>
          <w:highlight w:val="none"/>
        </w:rPr>
        <w:t>”的条款与用户需求中的条款描述不一致的，以用户需求中规定的为准。</w:t>
      </w:r>
    </w:p>
    <w:p>
      <w:pPr>
        <w:shd w:val="clear"/>
        <w:spacing w:line="500" w:lineRule="exact"/>
        <w:rPr>
          <w:rFonts w:ascii="宋体" w:hAnsi="宋体" w:cs="宋体"/>
          <w:szCs w:val="21"/>
          <w:highlight w:val="none"/>
          <w:u w:val="single"/>
        </w:rPr>
      </w:pPr>
      <w:r>
        <w:rPr>
          <w:rFonts w:hint="eastAsia" w:ascii="宋体" w:hAnsi="宋体" w:cs="宋体"/>
          <w:spacing w:val="4"/>
          <w:szCs w:val="21"/>
          <w:highlight w:val="none"/>
        </w:rPr>
        <w:t>投标人名称（加盖公章）：</w:t>
      </w:r>
      <w:r>
        <w:rPr>
          <w:rFonts w:hint="eastAsia" w:ascii="宋体" w:hAnsi="宋体" w:cs="宋体"/>
          <w:spacing w:val="4"/>
          <w:szCs w:val="21"/>
          <w:highlight w:val="none"/>
          <w:u w:val="single"/>
        </w:rPr>
        <w:t xml:space="preserve">                             </w:t>
      </w:r>
    </w:p>
    <w:p>
      <w:pPr>
        <w:shd w:val="clear"/>
        <w:rPr>
          <w:rFonts w:ascii="宋体" w:hAnsi="宋体" w:cs="宋体"/>
          <w:spacing w:val="4"/>
          <w:szCs w:val="21"/>
          <w:highlight w:val="none"/>
        </w:rPr>
      </w:pPr>
    </w:p>
    <w:p>
      <w:pPr>
        <w:shd w:val="clear"/>
        <w:spacing w:line="520" w:lineRule="exact"/>
        <w:rPr>
          <w:rFonts w:ascii="宋体" w:hAnsi="宋体" w:cs="宋体"/>
          <w:spacing w:val="4"/>
          <w:szCs w:val="21"/>
          <w:highlight w:val="none"/>
          <w:u w:val="single"/>
        </w:rPr>
      </w:pPr>
      <w:r>
        <w:rPr>
          <w:rFonts w:hint="eastAsia" w:ascii="宋体" w:hAnsi="宋体" w:cs="宋体"/>
          <w:szCs w:val="21"/>
          <w:highlight w:val="none"/>
        </w:rPr>
        <w:t>法定代表人或投标人授权代表（签名或盖章）：</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职务：</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日期</w:t>
      </w:r>
      <w:r>
        <w:rPr>
          <w:rFonts w:hint="eastAsia" w:ascii="宋体" w:hAnsi="宋体" w:cs="宋体"/>
          <w:spacing w:val="4"/>
          <w:szCs w:val="21"/>
          <w:highlight w:val="none"/>
          <w:u w:val="single"/>
        </w:rPr>
        <w:t xml:space="preserve">         </w:t>
      </w:r>
    </w:p>
    <w:p>
      <w:pPr>
        <w:shd w:val="clear"/>
        <w:spacing w:line="520" w:lineRule="exact"/>
        <w:rPr>
          <w:rFonts w:ascii="宋体" w:hAnsi="宋体" w:cs="宋体"/>
          <w:spacing w:val="4"/>
          <w:szCs w:val="21"/>
          <w:highlight w:val="none"/>
          <w:u w:val="single"/>
        </w:rPr>
      </w:pPr>
    </w:p>
    <w:p>
      <w:pPr>
        <w:shd w:val="clear"/>
        <w:spacing w:line="520" w:lineRule="exact"/>
        <w:rPr>
          <w:rFonts w:ascii="宋体" w:hAnsi="宋体" w:cs="宋体"/>
          <w:spacing w:val="4"/>
          <w:szCs w:val="21"/>
          <w:highlight w:val="none"/>
          <w:u w:val="single"/>
        </w:rPr>
      </w:pPr>
    </w:p>
    <w:p>
      <w:pPr>
        <w:shd w:val="clear"/>
        <w:rPr>
          <w:rFonts w:ascii="宋体" w:hAnsi="宋体" w:cs="宋体"/>
          <w:szCs w:val="21"/>
          <w:highlight w:val="none"/>
        </w:rPr>
      </w:pPr>
      <w:r>
        <w:rPr>
          <w:rFonts w:hint="eastAsia" w:ascii="宋体" w:hAnsi="宋体" w:cs="宋体"/>
          <w:szCs w:val="21"/>
          <w:highlight w:val="none"/>
        </w:rPr>
        <w:br w:type="page"/>
      </w:r>
    </w:p>
    <w:p>
      <w:pPr>
        <w:numPr>
          <w:ilvl w:val="0"/>
          <w:numId w:val="147"/>
        </w:numPr>
        <w:shd w:val="clear"/>
        <w:spacing w:line="440" w:lineRule="exact"/>
        <w:rPr>
          <w:rFonts w:ascii="宋体" w:hAnsi="宋体" w:cs="宋体"/>
          <w:bCs/>
          <w:szCs w:val="21"/>
          <w:highlight w:val="none"/>
        </w:rPr>
      </w:pPr>
    </w:p>
    <w:p>
      <w:pPr>
        <w:pStyle w:val="5"/>
        <w:shd w:val="clear"/>
        <w:adjustRightInd w:val="0"/>
        <w:snapToGrid w:val="0"/>
        <w:spacing w:before="156" w:beforeLines="50" w:after="156" w:afterLines="50" w:line="360" w:lineRule="auto"/>
        <w:jc w:val="center"/>
        <w:rPr>
          <w:b w:val="0"/>
          <w:bCs w:val="0"/>
          <w:highlight w:val="none"/>
        </w:rPr>
      </w:pPr>
      <w:bookmarkStart w:id="130" w:name="_Toc275865614"/>
      <w:r>
        <w:rPr>
          <w:rFonts w:hint="eastAsia"/>
          <w:b w:val="0"/>
          <w:bCs w:val="0"/>
          <w:highlight w:val="none"/>
        </w:rPr>
        <w:t>投标技术服务方案</w:t>
      </w:r>
      <w:bookmarkEnd w:id="130"/>
    </w:p>
    <w:p>
      <w:pPr>
        <w:shd w:val="clear"/>
        <w:spacing w:after="156" w:afterLines="50"/>
        <w:jc w:val="center"/>
        <w:outlineLvl w:val="2"/>
        <w:rPr>
          <w:rFonts w:ascii="宋体" w:hAnsi="宋体" w:cs="宋体"/>
          <w:b/>
          <w:szCs w:val="21"/>
          <w:highlight w:val="none"/>
        </w:rPr>
      </w:pPr>
      <w:r>
        <w:rPr>
          <w:rFonts w:hint="eastAsia" w:ascii="宋体" w:hAnsi="宋体" w:cs="宋体"/>
          <w:szCs w:val="21"/>
          <w:highlight w:val="none"/>
        </w:rPr>
        <w:t>投标人名称：                                                     项目编号：BDGZ2023024</w:t>
      </w:r>
    </w:p>
    <w:p>
      <w:pPr>
        <w:shd w:val="clear"/>
        <w:adjustRightInd w:val="0"/>
        <w:snapToGrid w:val="0"/>
        <w:spacing w:line="360" w:lineRule="auto"/>
        <w:rPr>
          <w:rFonts w:ascii="宋体" w:hAnsi="宋体" w:cs="宋体"/>
          <w:b/>
          <w:szCs w:val="21"/>
          <w:highlight w:val="none"/>
        </w:rPr>
      </w:pPr>
      <w:r>
        <w:rPr>
          <w:rFonts w:hint="eastAsia" w:ascii="宋体" w:hAnsi="宋体" w:cs="宋体"/>
          <w:b/>
          <w:szCs w:val="21"/>
          <w:highlight w:val="none"/>
        </w:rPr>
        <w:t>主要内容应包括但不限于以下内容（格式自定）：</w:t>
      </w:r>
    </w:p>
    <w:p>
      <w:pPr>
        <w:numPr>
          <w:ilvl w:val="0"/>
          <w:numId w:val="159"/>
        </w:numPr>
        <w:shd w:val="clear"/>
        <w:tabs>
          <w:tab w:val="left" w:pos="420"/>
        </w:tabs>
        <w:spacing w:line="520" w:lineRule="exact"/>
        <w:rPr>
          <w:rFonts w:ascii="宋体" w:hAnsi="宋体" w:cs="宋体"/>
          <w:szCs w:val="21"/>
          <w:highlight w:val="none"/>
        </w:rPr>
      </w:pPr>
      <w:r>
        <w:rPr>
          <w:rFonts w:hint="eastAsia" w:ascii="宋体" w:hAnsi="宋体" w:cs="宋体"/>
          <w:szCs w:val="21"/>
          <w:highlight w:val="none"/>
        </w:rPr>
        <w:t>对项目的熟悉程度；</w:t>
      </w:r>
    </w:p>
    <w:p>
      <w:pPr>
        <w:numPr>
          <w:ilvl w:val="0"/>
          <w:numId w:val="159"/>
        </w:numPr>
        <w:shd w:val="clear"/>
        <w:tabs>
          <w:tab w:val="left" w:pos="420"/>
        </w:tabs>
        <w:spacing w:line="520" w:lineRule="exact"/>
        <w:rPr>
          <w:rFonts w:ascii="宋体" w:hAnsi="宋体" w:cs="宋体"/>
          <w:szCs w:val="21"/>
          <w:highlight w:val="none"/>
        </w:rPr>
      </w:pPr>
      <w:r>
        <w:rPr>
          <w:rFonts w:hint="eastAsia" w:ascii="宋体" w:hAnsi="宋体" w:cs="宋体"/>
          <w:szCs w:val="21"/>
          <w:highlight w:val="none"/>
        </w:rPr>
        <w:t>项目组织方案；</w:t>
      </w:r>
    </w:p>
    <w:p>
      <w:pPr>
        <w:numPr>
          <w:ilvl w:val="0"/>
          <w:numId w:val="159"/>
        </w:numPr>
        <w:shd w:val="clear"/>
        <w:tabs>
          <w:tab w:val="left" w:pos="420"/>
        </w:tabs>
        <w:spacing w:line="520" w:lineRule="exact"/>
        <w:rPr>
          <w:rFonts w:ascii="宋体" w:hAnsi="宋体" w:cs="宋体"/>
          <w:szCs w:val="21"/>
          <w:highlight w:val="none"/>
        </w:rPr>
      </w:pPr>
      <w:r>
        <w:rPr>
          <w:rFonts w:hint="eastAsia" w:ascii="宋体" w:hAnsi="宋体" w:cs="宋体"/>
          <w:szCs w:val="21"/>
          <w:highlight w:val="none"/>
        </w:rPr>
        <w:t>安保服务方案；</w:t>
      </w:r>
    </w:p>
    <w:p>
      <w:pPr>
        <w:numPr>
          <w:ilvl w:val="0"/>
          <w:numId w:val="159"/>
        </w:numPr>
        <w:shd w:val="clear"/>
        <w:tabs>
          <w:tab w:val="left" w:pos="420"/>
        </w:tabs>
        <w:spacing w:line="520" w:lineRule="exact"/>
        <w:rPr>
          <w:rFonts w:ascii="宋体" w:hAnsi="宋体" w:cs="宋体"/>
          <w:szCs w:val="21"/>
          <w:highlight w:val="none"/>
        </w:rPr>
      </w:pPr>
      <w:r>
        <w:rPr>
          <w:rFonts w:hint="eastAsia" w:ascii="宋体" w:hAnsi="宋体" w:cs="宋体"/>
          <w:szCs w:val="21"/>
          <w:highlight w:val="none"/>
        </w:rPr>
        <w:t>工程服务方案；</w:t>
      </w:r>
    </w:p>
    <w:p>
      <w:pPr>
        <w:numPr>
          <w:ilvl w:val="0"/>
          <w:numId w:val="159"/>
        </w:numPr>
        <w:shd w:val="clear"/>
        <w:tabs>
          <w:tab w:val="left" w:pos="420"/>
        </w:tabs>
        <w:spacing w:line="520" w:lineRule="exact"/>
        <w:rPr>
          <w:rFonts w:ascii="宋体" w:hAnsi="宋体" w:cs="宋体"/>
          <w:szCs w:val="21"/>
          <w:highlight w:val="none"/>
        </w:rPr>
      </w:pPr>
      <w:r>
        <w:rPr>
          <w:rFonts w:hint="eastAsia" w:ascii="宋体" w:hAnsi="宋体" w:cs="宋体"/>
          <w:szCs w:val="21"/>
          <w:highlight w:val="none"/>
        </w:rPr>
        <w:t>环境保洁服务方案；</w:t>
      </w:r>
    </w:p>
    <w:p>
      <w:pPr>
        <w:numPr>
          <w:ilvl w:val="0"/>
          <w:numId w:val="159"/>
        </w:numPr>
        <w:shd w:val="clear"/>
        <w:tabs>
          <w:tab w:val="left" w:pos="420"/>
        </w:tabs>
        <w:spacing w:line="520" w:lineRule="exact"/>
        <w:rPr>
          <w:rFonts w:ascii="宋体" w:hAnsi="宋体" w:cs="宋体"/>
          <w:szCs w:val="21"/>
          <w:highlight w:val="none"/>
        </w:rPr>
      </w:pPr>
      <w:r>
        <w:rPr>
          <w:rFonts w:hint="eastAsia" w:ascii="宋体" w:hAnsi="宋体" w:cs="宋体"/>
          <w:szCs w:val="21"/>
          <w:highlight w:val="none"/>
        </w:rPr>
        <w:t>绿化养护服务方案；</w:t>
      </w:r>
    </w:p>
    <w:p>
      <w:pPr>
        <w:numPr>
          <w:ilvl w:val="0"/>
          <w:numId w:val="159"/>
        </w:numPr>
        <w:shd w:val="clear"/>
        <w:tabs>
          <w:tab w:val="left" w:pos="420"/>
        </w:tabs>
        <w:spacing w:line="520" w:lineRule="exact"/>
        <w:rPr>
          <w:rFonts w:ascii="宋体" w:hAnsi="宋体" w:cs="宋体"/>
          <w:szCs w:val="21"/>
          <w:highlight w:val="none"/>
        </w:rPr>
      </w:pPr>
      <w:r>
        <w:rPr>
          <w:rFonts w:hint="eastAsia" w:ascii="宋体" w:hAnsi="宋体" w:cs="宋体"/>
          <w:szCs w:val="21"/>
          <w:highlight w:val="none"/>
        </w:rPr>
        <w:t>智能化设备和科技技术运用方案；</w:t>
      </w:r>
    </w:p>
    <w:p>
      <w:pPr>
        <w:numPr>
          <w:ilvl w:val="0"/>
          <w:numId w:val="159"/>
        </w:numPr>
        <w:shd w:val="clear"/>
        <w:tabs>
          <w:tab w:val="left" w:pos="420"/>
        </w:tabs>
        <w:spacing w:line="520" w:lineRule="exact"/>
        <w:rPr>
          <w:rFonts w:ascii="宋体" w:hAnsi="宋体" w:cs="宋体"/>
          <w:szCs w:val="21"/>
          <w:highlight w:val="none"/>
        </w:rPr>
      </w:pPr>
      <w:r>
        <w:rPr>
          <w:rFonts w:hint="eastAsia" w:ascii="宋体" w:hAnsi="宋体" w:cs="宋体"/>
          <w:szCs w:val="21"/>
          <w:highlight w:val="none"/>
        </w:rPr>
        <w:t>专项接待管理方案；</w:t>
      </w:r>
    </w:p>
    <w:p>
      <w:pPr>
        <w:numPr>
          <w:ilvl w:val="0"/>
          <w:numId w:val="159"/>
        </w:numPr>
        <w:shd w:val="clear"/>
        <w:tabs>
          <w:tab w:val="left" w:pos="420"/>
        </w:tabs>
        <w:spacing w:line="520" w:lineRule="exact"/>
        <w:rPr>
          <w:rFonts w:ascii="宋体" w:hAnsi="宋体" w:cs="宋体"/>
          <w:szCs w:val="21"/>
          <w:highlight w:val="none"/>
        </w:rPr>
      </w:pPr>
      <w:r>
        <w:rPr>
          <w:rFonts w:hint="eastAsia" w:ascii="宋体" w:hAnsi="宋体" w:cs="宋体"/>
          <w:szCs w:val="21"/>
          <w:highlight w:val="none"/>
        </w:rPr>
        <w:t>应急管理方案；</w:t>
      </w:r>
    </w:p>
    <w:p>
      <w:pPr>
        <w:numPr>
          <w:ilvl w:val="0"/>
          <w:numId w:val="159"/>
        </w:numPr>
        <w:shd w:val="clear"/>
        <w:tabs>
          <w:tab w:val="left" w:pos="420"/>
        </w:tabs>
        <w:spacing w:line="520" w:lineRule="exact"/>
        <w:rPr>
          <w:rFonts w:ascii="宋体" w:hAnsi="宋体" w:cs="宋体"/>
          <w:szCs w:val="21"/>
          <w:highlight w:val="none"/>
        </w:rPr>
      </w:pPr>
      <w:r>
        <w:rPr>
          <w:rFonts w:hint="eastAsia" w:ascii="宋体" w:hAnsi="宋体" w:cs="宋体"/>
          <w:szCs w:val="21"/>
          <w:highlight w:val="none"/>
        </w:rPr>
        <w:t>须招标人配合事项；</w:t>
      </w:r>
    </w:p>
    <w:p>
      <w:pPr>
        <w:numPr>
          <w:ilvl w:val="0"/>
          <w:numId w:val="159"/>
        </w:numPr>
        <w:shd w:val="clear"/>
        <w:tabs>
          <w:tab w:val="left" w:pos="420"/>
        </w:tabs>
        <w:spacing w:line="520" w:lineRule="exact"/>
        <w:rPr>
          <w:rFonts w:ascii="宋体" w:hAnsi="宋体" w:cs="宋体"/>
          <w:szCs w:val="21"/>
          <w:highlight w:val="none"/>
        </w:rPr>
      </w:pPr>
      <w:r>
        <w:rPr>
          <w:rFonts w:hint="eastAsia" w:ascii="宋体" w:hAnsi="宋体" w:cs="宋体"/>
          <w:szCs w:val="21"/>
          <w:highlight w:val="none"/>
        </w:rPr>
        <w:t>投标人认为对投标有利的其他资料。</w:t>
      </w:r>
    </w:p>
    <w:p>
      <w:pPr>
        <w:shd w:val="clear"/>
        <w:spacing w:line="400" w:lineRule="exact"/>
        <w:rPr>
          <w:rFonts w:ascii="宋体" w:hAnsi="宋体" w:cs="宋体"/>
          <w:szCs w:val="21"/>
          <w:highlight w:val="none"/>
        </w:rPr>
      </w:pPr>
    </w:p>
    <w:p>
      <w:pPr>
        <w:shd w:val="clear"/>
        <w:spacing w:line="400" w:lineRule="exact"/>
        <w:rPr>
          <w:rFonts w:ascii="宋体" w:hAnsi="宋体" w:cs="宋体"/>
          <w:szCs w:val="21"/>
          <w:highlight w:val="none"/>
        </w:rPr>
      </w:pPr>
    </w:p>
    <w:p>
      <w:pPr>
        <w:shd w:val="clear"/>
        <w:spacing w:line="500" w:lineRule="exact"/>
        <w:rPr>
          <w:rFonts w:ascii="宋体" w:hAnsi="宋体" w:cs="宋体"/>
          <w:szCs w:val="21"/>
          <w:highlight w:val="none"/>
          <w:u w:val="single"/>
        </w:rPr>
      </w:pPr>
      <w:bookmarkStart w:id="131" w:name="_Toc50691037"/>
      <w:bookmarkStart w:id="132" w:name="_Toc50703730"/>
      <w:bookmarkStart w:id="133" w:name="_Toc43264518"/>
      <w:r>
        <w:rPr>
          <w:rFonts w:hint="eastAsia" w:ascii="宋体" w:hAnsi="宋体" w:cs="宋体"/>
          <w:spacing w:val="4"/>
          <w:szCs w:val="21"/>
          <w:highlight w:val="none"/>
        </w:rPr>
        <w:t>投标人名称（盖公章）：</w:t>
      </w:r>
      <w:r>
        <w:rPr>
          <w:rFonts w:hint="eastAsia" w:ascii="宋体" w:hAnsi="宋体" w:cs="宋体"/>
          <w:spacing w:val="4"/>
          <w:szCs w:val="21"/>
          <w:highlight w:val="none"/>
          <w:u w:val="single"/>
        </w:rPr>
        <w:t xml:space="preserve">                             </w:t>
      </w:r>
    </w:p>
    <w:p>
      <w:pPr>
        <w:shd w:val="clear"/>
        <w:rPr>
          <w:rFonts w:ascii="宋体" w:hAnsi="宋体" w:cs="宋体"/>
          <w:spacing w:val="4"/>
          <w:szCs w:val="21"/>
          <w:highlight w:val="none"/>
        </w:rPr>
      </w:pPr>
    </w:p>
    <w:p>
      <w:pPr>
        <w:shd w:val="clear"/>
        <w:spacing w:line="520" w:lineRule="exact"/>
        <w:rPr>
          <w:rFonts w:ascii="宋体" w:hAnsi="宋体" w:cs="宋体"/>
          <w:spacing w:val="4"/>
          <w:szCs w:val="21"/>
          <w:highlight w:val="none"/>
          <w:u w:val="single"/>
        </w:rPr>
      </w:pPr>
      <w:r>
        <w:rPr>
          <w:rFonts w:hint="eastAsia" w:ascii="宋体" w:hAnsi="宋体" w:cs="宋体"/>
          <w:szCs w:val="21"/>
          <w:highlight w:val="none"/>
        </w:rPr>
        <w:t>法定代表人或投标人授权代表（签名或盖章）：</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职务：</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日期</w:t>
      </w:r>
      <w:r>
        <w:rPr>
          <w:rFonts w:hint="eastAsia" w:ascii="宋体" w:hAnsi="宋体" w:cs="宋体"/>
          <w:spacing w:val="4"/>
          <w:szCs w:val="21"/>
          <w:highlight w:val="none"/>
          <w:u w:val="single"/>
        </w:rPr>
        <w:t xml:space="preserve">         </w:t>
      </w:r>
    </w:p>
    <w:p>
      <w:pPr>
        <w:shd w:val="clear"/>
        <w:spacing w:line="520" w:lineRule="exact"/>
        <w:ind w:firstLine="436" w:firstLineChars="200"/>
        <w:rPr>
          <w:rFonts w:ascii="宋体" w:hAnsi="宋体" w:cs="宋体"/>
          <w:spacing w:val="4"/>
          <w:szCs w:val="21"/>
          <w:highlight w:val="none"/>
        </w:rPr>
        <w:sectPr>
          <w:pgSz w:w="11906" w:h="16838"/>
          <w:pgMar w:top="1440" w:right="1286" w:bottom="1440" w:left="1440" w:header="851" w:footer="992" w:gutter="0"/>
          <w:cols w:space="720" w:num="1"/>
          <w:docGrid w:type="lines" w:linePitch="312" w:charSpace="0"/>
        </w:sectPr>
      </w:pPr>
    </w:p>
    <w:p>
      <w:pPr>
        <w:numPr>
          <w:ilvl w:val="0"/>
          <w:numId w:val="147"/>
        </w:numPr>
        <w:shd w:val="clear"/>
        <w:spacing w:line="440" w:lineRule="exact"/>
        <w:rPr>
          <w:rFonts w:ascii="宋体" w:hAnsi="宋体" w:cs="宋体"/>
          <w:bCs/>
          <w:szCs w:val="21"/>
          <w:highlight w:val="none"/>
        </w:rPr>
      </w:pPr>
    </w:p>
    <w:p>
      <w:pPr>
        <w:pStyle w:val="5"/>
        <w:shd w:val="clear"/>
        <w:adjustRightInd w:val="0"/>
        <w:snapToGrid w:val="0"/>
        <w:spacing w:before="156" w:beforeLines="50" w:after="156" w:afterLines="50" w:line="360" w:lineRule="auto"/>
        <w:jc w:val="center"/>
        <w:rPr>
          <w:b w:val="0"/>
          <w:bCs w:val="0"/>
          <w:highlight w:val="none"/>
        </w:rPr>
      </w:pPr>
      <w:bookmarkStart w:id="134" w:name="_Toc52165084"/>
      <w:bookmarkStart w:id="135" w:name="_Toc50736480"/>
      <w:bookmarkStart w:id="136" w:name="_Toc50691042"/>
      <w:bookmarkStart w:id="137" w:name="_Toc50737332"/>
      <w:bookmarkStart w:id="138" w:name="_Toc275865618"/>
      <w:bookmarkStart w:id="139" w:name="_Toc50737300"/>
      <w:bookmarkStart w:id="140" w:name="_Toc173553182"/>
      <w:bookmarkStart w:id="141" w:name="_Toc275865616"/>
      <w:r>
        <w:rPr>
          <w:rFonts w:hint="eastAsia"/>
          <w:b w:val="0"/>
          <w:bCs w:val="0"/>
          <w:highlight w:val="none"/>
        </w:rPr>
        <w:t>拟投入人员一览表</w:t>
      </w:r>
      <w:bookmarkEnd w:id="134"/>
      <w:bookmarkEnd w:id="135"/>
      <w:bookmarkEnd w:id="136"/>
      <w:bookmarkEnd w:id="137"/>
      <w:bookmarkEnd w:id="138"/>
      <w:bookmarkEnd w:id="139"/>
    </w:p>
    <w:p>
      <w:pPr>
        <w:shd w:val="clear"/>
        <w:spacing w:after="156" w:afterLines="50"/>
        <w:jc w:val="center"/>
        <w:outlineLvl w:val="2"/>
        <w:rPr>
          <w:rFonts w:ascii="宋体" w:hAnsi="宋体" w:cs="宋体"/>
          <w:szCs w:val="21"/>
          <w:highlight w:val="none"/>
        </w:rPr>
      </w:pPr>
      <w:r>
        <w:rPr>
          <w:rFonts w:hint="eastAsia" w:ascii="宋体" w:hAnsi="宋体" w:cs="宋体"/>
          <w:szCs w:val="21"/>
          <w:highlight w:val="none"/>
        </w:rPr>
        <w:t>投标人名称：                                                     项目编号：BDGZ2023024</w:t>
      </w:r>
    </w:p>
    <w:tbl>
      <w:tblPr>
        <w:tblStyle w:val="22"/>
        <w:tblW w:w="95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037"/>
        <w:gridCol w:w="695"/>
        <w:gridCol w:w="720"/>
        <w:gridCol w:w="825"/>
        <w:gridCol w:w="980"/>
        <w:gridCol w:w="862"/>
        <w:gridCol w:w="733"/>
        <w:gridCol w:w="1686"/>
        <w:gridCol w:w="13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74" w:type="dxa"/>
            <w:tcBorders>
              <w:top w:val="single" w:color="auto" w:sz="12" w:space="0"/>
              <w:bottom w:val="double" w:color="auto" w:sz="4" w:space="0"/>
            </w:tcBorders>
            <w:shd w:val="clear" w:color="auto" w:fill="EEECE1"/>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序号</w:t>
            </w:r>
          </w:p>
        </w:tc>
        <w:tc>
          <w:tcPr>
            <w:tcW w:w="1037" w:type="dxa"/>
            <w:tcBorders>
              <w:top w:val="single" w:color="auto" w:sz="12" w:space="0"/>
              <w:bottom w:val="double" w:color="auto" w:sz="4" w:space="0"/>
            </w:tcBorders>
            <w:shd w:val="clear" w:color="auto" w:fill="EEECE1"/>
            <w:vAlign w:val="center"/>
          </w:tcPr>
          <w:p>
            <w:pPr>
              <w:pStyle w:val="61"/>
              <w:keepNext w:val="0"/>
              <w:shd w:val="clear"/>
              <w:snapToGrid w:val="0"/>
              <w:spacing w:before="0" w:after="0" w:line="240" w:lineRule="auto"/>
              <w:ind w:left="-84" w:leftChars="-40" w:right="-107" w:rightChars="-51"/>
              <w:textAlignment w:val="auto"/>
              <w:rPr>
                <w:rFonts w:ascii="宋体" w:hAnsi="宋体" w:cs="宋体"/>
                <w:snapToGrid/>
                <w:spacing w:val="0"/>
                <w:kern w:val="2"/>
                <w:sz w:val="21"/>
                <w:szCs w:val="21"/>
                <w:highlight w:val="none"/>
              </w:rPr>
            </w:pPr>
            <w:r>
              <w:rPr>
                <w:rFonts w:hint="eastAsia" w:ascii="宋体" w:hAnsi="宋体" w:cs="宋体"/>
                <w:snapToGrid/>
                <w:spacing w:val="0"/>
                <w:kern w:val="2"/>
                <w:sz w:val="21"/>
                <w:szCs w:val="21"/>
                <w:highlight w:val="none"/>
              </w:rPr>
              <w:t>姓名</w:t>
            </w:r>
          </w:p>
        </w:tc>
        <w:tc>
          <w:tcPr>
            <w:tcW w:w="695" w:type="dxa"/>
            <w:tcBorders>
              <w:top w:val="single" w:color="auto" w:sz="12" w:space="0"/>
              <w:bottom w:val="double" w:color="auto" w:sz="4" w:space="0"/>
            </w:tcBorders>
            <w:shd w:val="clear" w:color="auto" w:fill="EEECE1"/>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性别</w:t>
            </w:r>
          </w:p>
        </w:tc>
        <w:tc>
          <w:tcPr>
            <w:tcW w:w="720" w:type="dxa"/>
            <w:tcBorders>
              <w:top w:val="single" w:color="auto" w:sz="12" w:space="0"/>
              <w:bottom w:val="double" w:color="auto" w:sz="4" w:space="0"/>
            </w:tcBorders>
            <w:shd w:val="clear" w:color="auto" w:fill="EEECE1"/>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年龄</w:t>
            </w:r>
          </w:p>
        </w:tc>
        <w:tc>
          <w:tcPr>
            <w:tcW w:w="825" w:type="dxa"/>
            <w:tcBorders>
              <w:top w:val="single" w:color="auto" w:sz="12" w:space="0"/>
              <w:bottom w:val="double" w:color="auto" w:sz="4" w:space="0"/>
            </w:tcBorders>
            <w:shd w:val="clear" w:color="auto" w:fill="EEECE1"/>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学历</w:t>
            </w:r>
          </w:p>
        </w:tc>
        <w:tc>
          <w:tcPr>
            <w:tcW w:w="980" w:type="dxa"/>
            <w:tcBorders>
              <w:top w:val="single" w:color="auto" w:sz="12" w:space="0"/>
              <w:bottom w:val="double" w:color="auto" w:sz="4" w:space="0"/>
            </w:tcBorders>
            <w:shd w:val="clear" w:color="auto" w:fill="EEECE1"/>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职称</w:t>
            </w:r>
          </w:p>
        </w:tc>
        <w:tc>
          <w:tcPr>
            <w:tcW w:w="862" w:type="dxa"/>
            <w:tcBorders>
              <w:top w:val="single" w:color="auto" w:sz="12" w:space="0"/>
              <w:bottom w:val="double" w:color="auto" w:sz="4" w:space="0"/>
            </w:tcBorders>
            <w:shd w:val="clear" w:color="auto" w:fill="EEECE1"/>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专业</w:t>
            </w:r>
          </w:p>
        </w:tc>
        <w:tc>
          <w:tcPr>
            <w:tcW w:w="733" w:type="dxa"/>
            <w:tcBorders>
              <w:top w:val="single" w:color="auto" w:sz="12" w:space="0"/>
              <w:bottom w:val="double" w:color="auto" w:sz="4" w:space="0"/>
            </w:tcBorders>
            <w:shd w:val="clear" w:color="auto" w:fill="EEECE1"/>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经验年限</w:t>
            </w:r>
          </w:p>
        </w:tc>
        <w:tc>
          <w:tcPr>
            <w:tcW w:w="1686" w:type="dxa"/>
            <w:tcBorders>
              <w:top w:val="single" w:color="auto" w:sz="12" w:space="0"/>
              <w:bottom w:val="double" w:color="auto" w:sz="4" w:space="0"/>
            </w:tcBorders>
            <w:shd w:val="clear" w:color="auto" w:fill="EEECE1"/>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拟担任职务或承担工作内容</w:t>
            </w:r>
          </w:p>
        </w:tc>
        <w:tc>
          <w:tcPr>
            <w:tcW w:w="1394" w:type="dxa"/>
            <w:tcBorders>
              <w:top w:val="single" w:color="auto" w:sz="12" w:space="0"/>
              <w:bottom w:val="double" w:color="auto" w:sz="4" w:space="0"/>
            </w:tcBorders>
            <w:shd w:val="clear" w:color="auto" w:fill="EEECE1"/>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Align w:val="center"/>
          </w:tcPr>
          <w:p>
            <w:pPr>
              <w:numPr>
                <w:ilvl w:val="0"/>
                <w:numId w:val="160"/>
              </w:numPr>
              <w:shd w:val="clear"/>
              <w:tabs>
                <w:tab w:val="left" w:pos="142"/>
              </w:tabs>
              <w:jc w:val="center"/>
              <w:rPr>
                <w:rFonts w:ascii="宋体" w:hAnsi="宋体" w:cs="宋体"/>
                <w:szCs w:val="21"/>
                <w:highlight w:val="none"/>
              </w:rPr>
            </w:pPr>
          </w:p>
        </w:tc>
        <w:tc>
          <w:tcPr>
            <w:tcW w:w="1037" w:type="dxa"/>
            <w:vAlign w:val="center"/>
          </w:tcPr>
          <w:p>
            <w:pPr>
              <w:shd w:val="clear"/>
              <w:jc w:val="center"/>
              <w:rPr>
                <w:rFonts w:ascii="宋体" w:hAnsi="宋体" w:cs="宋体"/>
                <w:szCs w:val="21"/>
                <w:highlight w:val="none"/>
              </w:rPr>
            </w:pPr>
          </w:p>
        </w:tc>
        <w:tc>
          <w:tcPr>
            <w:tcW w:w="695" w:type="dxa"/>
            <w:vAlign w:val="center"/>
          </w:tcPr>
          <w:p>
            <w:pPr>
              <w:shd w:val="clear"/>
              <w:jc w:val="center"/>
              <w:rPr>
                <w:rFonts w:ascii="宋体" w:hAnsi="宋体" w:cs="宋体"/>
                <w:szCs w:val="21"/>
                <w:highlight w:val="none"/>
              </w:rPr>
            </w:pPr>
          </w:p>
        </w:tc>
        <w:tc>
          <w:tcPr>
            <w:tcW w:w="720" w:type="dxa"/>
            <w:vAlign w:val="center"/>
          </w:tcPr>
          <w:p>
            <w:pPr>
              <w:shd w:val="clear"/>
              <w:jc w:val="center"/>
              <w:rPr>
                <w:rFonts w:ascii="宋体" w:hAnsi="宋体" w:cs="宋体"/>
                <w:szCs w:val="21"/>
                <w:highlight w:val="none"/>
              </w:rPr>
            </w:pPr>
          </w:p>
        </w:tc>
        <w:tc>
          <w:tcPr>
            <w:tcW w:w="825" w:type="dxa"/>
            <w:vAlign w:val="center"/>
          </w:tcPr>
          <w:p>
            <w:pPr>
              <w:shd w:val="clear"/>
              <w:jc w:val="center"/>
              <w:rPr>
                <w:rFonts w:ascii="宋体" w:hAnsi="宋体" w:cs="宋体"/>
                <w:szCs w:val="21"/>
                <w:highlight w:val="none"/>
              </w:rPr>
            </w:pPr>
          </w:p>
        </w:tc>
        <w:tc>
          <w:tcPr>
            <w:tcW w:w="980" w:type="dxa"/>
            <w:vAlign w:val="center"/>
          </w:tcPr>
          <w:p>
            <w:pPr>
              <w:shd w:val="clear"/>
              <w:jc w:val="center"/>
              <w:rPr>
                <w:rFonts w:ascii="宋体" w:hAnsi="宋体" w:cs="宋体"/>
                <w:szCs w:val="21"/>
                <w:highlight w:val="none"/>
              </w:rPr>
            </w:pPr>
          </w:p>
        </w:tc>
        <w:tc>
          <w:tcPr>
            <w:tcW w:w="862" w:type="dxa"/>
            <w:vAlign w:val="center"/>
          </w:tcPr>
          <w:p>
            <w:pPr>
              <w:shd w:val="clear"/>
              <w:jc w:val="center"/>
              <w:rPr>
                <w:rFonts w:ascii="宋体" w:hAnsi="宋体" w:cs="宋体"/>
                <w:szCs w:val="21"/>
                <w:highlight w:val="none"/>
              </w:rPr>
            </w:pPr>
          </w:p>
        </w:tc>
        <w:tc>
          <w:tcPr>
            <w:tcW w:w="733" w:type="dxa"/>
            <w:vAlign w:val="center"/>
          </w:tcPr>
          <w:p>
            <w:pPr>
              <w:shd w:val="clear"/>
              <w:jc w:val="center"/>
              <w:rPr>
                <w:rFonts w:ascii="宋体" w:hAnsi="宋体" w:cs="宋体"/>
                <w:szCs w:val="21"/>
                <w:highlight w:val="none"/>
              </w:rPr>
            </w:pPr>
          </w:p>
        </w:tc>
        <w:tc>
          <w:tcPr>
            <w:tcW w:w="1686" w:type="dxa"/>
            <w:vAlign w:val="center"/>
          </w:tcPr>
          <w:p>
            <w:pPr>
              <w:shd w:val="clear"/>
              <w:jc w:val="center"/>
              <w:rPr>
                <w:rFonts w:ascii="宋体" w:hAnsi="宋体" w:cs="宋体"/>
                <w:szCs w:val="21"/>
                <w:highlight w:val="none"/>
              </w:rPr>
            </w:pPr>
          </w:p>
        </w:tc>
        <w:tc>
          <w:tcPr>
            <w:tcW w:w="1394" w:type="dxa"/>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见第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Align w:val="center"/>
          </w:tcPr>
          <w:p>
            <w:pPr>
              <w:numPr>
                <w:ilvl w:val="0"/>
                <w:numId w:val="160"/>
              </w:numPr>
              <w:shd w:val="clear"/>
              <w:tabs>
                <w:tab w:val="left" w:pos="142"/>
              </w:tabs>
              <w:jc w:val="center"/>
              <w:rPr>
                <w:rFonts w:ascii="宋体" w:hAnsi="宋体" w:cs="宋体"/>
                <w:szCs w:val="21"/>
                <w:highlight w:val="none"/>
              </w:rPr>
            </w:pPr>
          </w:p>
        </w:tc>
        <w:tc>
          <w:tcPr>
            <w:tcW w:w="1037" w:type="dxa"/>
            <w:vAlign w:val="center"/>
          </w:tcPr>
          <w:p>
            <w:pPr>
              <w:shd w:val="clear"/>
              <w:jc w:val="center"/>
              <w:rPr>
                <w:rFonts w:ascii="宋体" w:hAnsi="宋体" w:cs="宋体"/>
                <w:szCs w:val="21"/>
                <w:highlight w:val="none"/>
              </w:rPr>
            </w:pPr>
          </w:p>
        </w:tc>
        <w:tc>
          <w:tcPr>
            <w:tcW w:w="695" w:type="dxa"/>
            <w:vAlign w:val="center"/>
          </w:tcPr>
          <w:p>
            <w:pPr>
              <w:shd w:val="clear"/>
              <w:jc w:val="center"/>
              <w:rPr>
                <w:rFonts w:ascii="宋体" w:hAnsi="宋体" w:cs="宋体"/>
                <w:szCs w:val="21"/>
                <w:highlight w:val="none"/>
              </w:rPr>
            </w:pPr>
          </w:p>
        </w:tc>
        <w:tc>
          <w:tcPr>
            <w:tcW w:w="720" w:type="dxa"/>
            <w:vAlign w:val="center"/>
          </w:tcPr>
          <w:p>
            <w:pPr>
              <w:shd w:val="clear"/>
              <w:jc w:val="center"/>
              <w:rPr>
                <w:rFonts w:ascii="宋体" w:hAnsi="宋体" w:cs="宋体"/>
                <w:szCs w:val="21"/>
                <w:highlight w:val="none"/>
              </w:rPr>
            </w:pPr>
          </w:p>
        </w:tc>
        <w:tc>
          <w:tcPr>
            <w:tcW w:w="825" w:type="dxa"/>
            <w:vAlign w:val="center"/>
          </w:tcPr>
          <w:p>
            <w:pPr>
              <w:shd w:val="clear"/>
              <w:jc w:val="center"/>
              <w:rPr>
                <w:rFonts w:ascii="宋体" w:hAnsi="宋体" w:cs="宋体"/>
                <w:szCs w:val="21"/>
                <w:highlight w:val="none"/>
              </w:rPr>
            </w:pPr>
          </w:p>
        </w:tc>
        <w:tc>
          <w:tcPr>
            <w:tcW w:w="980" w:type="dxa"/>
            <w:vAlign w:val="center"/>
          </w:tcPr>
          <w:p>
            <w:pPr>
              <w:shd w:val="clear"/>
              <w:jc w:val="center"/>
              <w:rPr>
                <w:rFonts w:ascii="宋体" w:hAnsi="宋体" w:cs="宋体"/>
                <w:szCs w:val="21"/>
                <w:highlight w:val="none"/>
              </w:rPr>
            </w:pPr>
          </w:p>
        </w:tc>
        <w:tc>
          <w:tcPr>
            <w:tcW w:w="862" w:type="dxa"/>
            <w:vAlign w:val="center"/>
          </w:tcPr>
          <w:p>
            <w:pPr>
              <w:shd w:val="clear"/>
              <w:jc w:val="center"/>
              <w:rPr>
                <w:rFonts w:ascii="宋体" w:hAnsi="宋体" w:cs="宋体"/>
                <w:szCs w:val="21"/>
                <w:highlight w:val="none"/>
              </w:rPr>
            </w:pPr>
          </w:p>
        </w:tc>
        <w:tc>
          <w:tcPr>
            <w:tcW w:w="733" w:type="dxa"/>
            <w:vAlign w:val="center"/>
          </w:tcPr>
          <w:p>
            <w:pPr>
              <w:shd w:val="clear"/>
              <w:jc w:val="center"/>
              <w:rPr>
                <w:rFonts w:ascii="宋体" w:hAnsi="宋体" w:cs="宋体"/>
                <w:szCs w:val="21"/>
                <w:highlight w:val="none"/>
              </w:rPr>
            </w:pPr>
          </w:p>
        </w:tc>
        <w:tc>
          <w:tcPr>
            <w:tcW w:w="1686" w:type="dxa"/>
            <w:vAlign w:val="center"/>
          </w:tcPr>
          <w:p>
            <w:pPr>
              <w:shd w:val="clear"/>
              <w:jc w:val="center"/>
              <w:rPr>
                <w:rFonts w:ascii="宋体" w:hAnsi="宋体" w:cs="宋体"/>
                <w:szCs w:val="21"/>
                <w:highlight w:val="none"/>
              </w:rPr>
            </w:pPr>
          </w:p>
        </w:tc>
        <w:tc>
          <w:tcPr>
            <w:tcW w:w="1394" w:type="dxa"/>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见第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Align w:val="center"/>
          </w:tcPr>
          <w:p>
            <w:pPr>
              <w:numPr>
                <w:ilvl w:val="0"/>
                <w:numId w:val="160"/>
              </w:numPr>
              <w:shd w:val="clear"/>
              <w:tabs>
                <w:tab w:val="left" w:pos="142"/>
              </w:tabs>
              <w:jc w:val="center"/>
              <w:rPr>
                <w:rFonts w:ascii="宋体" w:hAnsi="宋体" w:cs="宋体"/>
                <w:szCs w:val="21"/>
                <w:highlight w:val="none"/>
              </w:rPr>
            </w:pPr>
          </w:p>
        </w:tc>
        <w:tc>
          <w:tcPr>
            <w:tcW w:w="1037" w:type="dxa"/>
            <w:vAlign w:val="center"/>
          </w:tcPr>
          <w:p>
            <w:pPr>
              <w:shd w:val="clear"/>
              <w:jc w:val="center"/>
              <w:rPr>
                <w:rFonts w:ascii="宋体" w:hAnsi="宋体" w:cs="宋体"/>
                <w:szCs w:val="21"/>
                <w:highlight w:val="none"/>
              </w:rPr>
            </w:pPr>
          </w:p>
        </w:tc>
        <w:tc>
          <w:tcPr>
            <w:tcW w:w="695" w:type="dxa"/>
            <w:vAlign w:val="center"/>
          </w:tcPr>
          <w:p>
            <w:pPr>
              <w:shd w:val="clear"/>
              <w:jc w:val="center"/>
              <w:rPr>
                <w:rFonts w:ascii="宋体" w:hAnsi="宋体" w:cs="宋体"/>
                <w:szCs w:val="21"/>
                <w:highlight w:val="none"/>
              </w:rPr>
            </w:pPr>
          </w:p>
        </w:tc>
        <w:tc>
          <w:tcPr>
            <w:tcW w:w="720" w:type="dxa"/>
            <w:vAlign w:val="center"/>
          </w:tcPr>
          <w:p>
            <w:pPr>
              <w:shd w:val="clear"/>
              <w:jc w:val="center"/>
              <w:rPr>
                <w:rFonts w:ascii="宋体" w:hAnsi="宋体" w:cs="宋体"/>
                <w:szCs w:val="21"/>
                <w:highlight w:val="none"/>
              </w:rPr>
            </w:pPr>
          </w:p>
        </w:tc>
        <w:tc>
          <w:tcPr>
            <w:tcW w:w="825" w:type="dxa"/>
            <w:vAlign w:val="center"/>
          </w:tcPr>
          <w:p>
            <w:pPr>
              <w:shd w:val="clear"/>
              <w:jc w:val="center"/>
              <w:rPr>
                <w:rFonts w:ascii="宋体" w:hAnsi="宋体" w:cs="宋体"/>
                <w:szCs w:val="21"/>
                <w:highlight w:val="none"/>
              </w:rPr>
            </w:pPr>
          </w:p>
        </w:tc>
        <w:tc>
          <w:tcPr>
            <w:tcW w:w="980" w:type="dxa"/>
            <w:vAlign w:val="center"/>
          </w:tcPr>
          <w:p>
            <w:pPr>
              <w:shd w:val="clear"/>
              <w:jc w:val="center"/>
              <w:rPr>
                <w:rFonts w:ascii="宋体" w:hAnsi="宋体" w:cs="宋体"/>
                <w:szCs w:val="21"/>
                <w:highlight w:val="none"/>
              </w:rPr>
            </w:pPr>
          </w:p>
        </w:tc>
        <w:tc>
          <w:tcPr>
            <w:tcW w:w="862" w:type="dxa"/>
            <w:vAlign w:val="center"/>
          </w:tcPr>
          <w:p>
            <w:pPr>
              <w:shd w:val="clear"/>
              <w:jc w:val="center"/>
              <w:rPr>
                <w:rFonts w:ascii="宋体" w:hAnsi="宋体" w:cs="宋体"/>
                <w:szCs w:val="21"/>
                <w:highlight w:val="none"/>
              </w:rPr>
            </w:pPr>
          </w:p>
        </w:tc>
        <w:tc>
          <w:tcPr>
            <w:tcW w:w="733" w:type="dxa"/>
            <w:vAlign w:val="center"/>
          </w:tcPr>
          <w:p>
            <w:pPr>
              <w:shd w:val="clear"/>
              <w:jc w:val="center"/>
              <w:rPr>
                <w:rFonts w:ascii="宋体" w:hAnsi="宋体" w:cs="宋体"/>
                <w:szCs w:val="21"/>
                <w:highlight w:val="none"/>
              </w:rPr>
            </w:pPr>
          </w:p>
        </w:tc>
        <w:tc>
          <w:tcPr>
            <w:tcW w:w="1686" w:type="dxa"/>
            <w:vAlign w:val="center"/>
          </w:tcPr>
          <w:p>
            <w:pPr>
              <w:shd w:val="clear"/>
              <w:jc w:val="center"/>
              <w:rPr>
                <w:rFonts w:ascii="宋体" w:hAnsi="宋体" w:cs="宋体"/>
                <w:szCs w:val="21"/>
                <w:highlight w:val="none"/>
              </w:rPr>
            </w:pPr>
          </w:p>
        </w:tc>
        <w:tc>
          <w:tcPr>
            <w:tcW w:w="1394" w:type="dxa"/>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见第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Align w:val="center"/>
          </w:tcPr>
          <w:p>
            <w:pPr>
              <w:numPr>
                <w:ilvl w:val="0"/>
                <w:numId w:val="160"/>
              </w:numPr>
              <w:shd w:val="clear"/>
              <w:tabs>
                <w:tab w:val="left" w:pos="142"/>
              </w:tabs>
              <w:jc w:val="center"/>
              <w:rPr>
                <w:rFonts w:ascii="宋体" w:hAnsi="宋体" w:cs="宋体"/>
                <w:szCs w:val="21"/>
                <w:highlight w:val="none"/>
              </w:rPr>
            </w:pPr>
          </w:p>
        </w:tc>
        <w:tc>
          <w:tcPr>
            <w:tcW w:w="1037" w:type="dxa"/>
            <w:vAlign w:val="center"/>
          </w:tcPr>
          <w:p>
            <w:pPr>
              <w:shd w:val="clear"/>
              <w:jc w:val="center"/>
              <w:rPr>
                <w:rFonts w:ascii="宋体" w:hAnsi="宋体" w:cs="宋体"/>
                <w:szCs w:val="21"/>
                <w:highlight w:val="none"/>
              </w:rPr>
            </w:pPr>
          </w:p>
        </w:tc>
        <w:tc>
          <w:tcPr>
            <w:tcW w:w="695" w:type="dxa"/>
            <w:vAlign w:val="center"/>
          </w:tcPr>
          <w:p>
            <w:pPr>
              <w:shd w:val="clear"/>
              <w:jc w:val="center"/>
              <w:rPr>
                <w:rFonts w:ascii="宋体" w:hAnsi="宋体" w:cs="宋体"/>
                <w:szCs w:val="21"/>
                <w:highlight w:val="none"/>
              </w:rPr>
            </w:pPr>
          </w:p>
        </w:tc>
        <w:tc>
          <w:tcPr>
            <w:tcW w:w="720" w:type="dxa"/>
            <w:vAlign w:val="center"/>
          </w:tcPr>
          <w:p>
            <w:pPr>
              <w:shd w:val="clear"/>
              <w:jc w:val="center"/>
              <w:rPr>
                <w:rFonts w:ascii="宋体" w:hAnsi="宋体" w:cs="宋体"/>
                <w:szCs w:val="21"/>
                <w:highlight w:val="none"/>
              </w:rPr>
            </w:pPr>
          </w:p>
        </w:tc>
        <w:tc>
          <w:tcPr>
            <w:tcW w:w="825" w:type="dxa"/>
            <w:vAlign w:val="center"/>
          </w:tcPr>
          <w:p>
            <w:pPr>
              <w:shd w:val="clear"/>
              <w:jc w:val="center"/>
              <w:rPr>
                <w:rFonts w:ascii="宋体" w:hAnsi="宋体" w:cs="宋体"/>
                <w:szCs w:val="21"/>
                <w:highlight w:val="none"/>
              </w:rPr>
            </w:pPr>
          </w:p>
        </w:tc>
        <w:tc>
          <w:tcPr>
            <w:tcW w:w="980" w:type="dxa"/>
            <w:vAlign w:val="center"/>
          </w:tcPr>
          <w:p>
            <w:pPr>
              <w:shd w:val="clear"/>
              <w:jc w:val="center"/>
              <w:rPr>
                <w:rFonts w:ascii="宋体" w:hAnsi="宋体" w:cs="宋体"/>
                <w:szCs w:val="21"/>
                <w:highlight w:val="none"/>
              </w:rPr>
            </w:pPr>
          </w:p>
        </w:tc>
        <w:tc>
          <w:tcPr>
            <w:tcW w:w="862" w:type="dxa"/>
            <w:vAlign w:val="center"/>
          </w:tcPr>
          <w:p>
            <w:pPr>
              <w:shd w:val="clear"/>
              <w:jc w:val="center"/>
              <w:rPr>
                <w:rFonts w:ascii="宋体" w:hAnsi="宋体" w:cs="宋体"/>
                <w:szCs w:val="21"/>
                <w:highlight w:val="none"/>
              </w:rPr>
            </w:pPr>
          </w:p>
        </w:tc>
        <w:tc>
          <w:tcPr>
            <w:tcW w:w="733" w:type="dxa"/>
            <w:vAlign w:val="center"/>
          </w:tcPr>
          <w:p>
            <w:pPr>
              <w:shd w:val="clear"/>
              <w:jc w:val="center"/>
              <w:rPr>
                <w:rFonts w:ascii="宋体" w:hAnsi="宋体" w:cs="宋体"/>
                <w:szCs w:val="21"/>
                <w:highlight w:val="none"/>
              </w:rPr>
            </w:pPr>
          </w:p>
        </w:tc>
        <w:tc>
          <w:tcPr>
            <w:tcW w:w="1686" w:type="dxa"/>
            <w:vAlign w:val="center"/>
          </w:tcPr>
          <w:p>
            <w:pPr>
              <w:shd w:val="clear"/>
              <w:jc w:val="center"/>
              <w:rPr>
                <w:rFonts w:ascii="宋体" w:hAnsi="宋体" w:cs="宋体"/>
                <w:szCs w:val="21"/>
                <w:highlight w:val="none"/>
              </w:rPr>
            </w:pPr>
          </w:p>
        </w:tc>
        <w:tc>
          <w:tcPr>
            <w:tcW w:w="1394" w:type="dxa"/>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见第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Align w:val="center"/>
          </w:tcPr>
          <w:p>
            <w:pPr>
              <w:numPr>
                <w:ilvl w:val="0"/>
                <w:numId w:val="160"/>
              </w:numPr>
              <w:shd w:val="clear"/>
              <w:tabs>
                <w:tab w:val="left" w:pos="142"/>
              </w:tabs>
              <w:jc w:val="center"/>
              <w:rPr>
                <w:rFonts w:ascii="宋体" w:hAnsi="宋体" w:cs="宋体"/>
                <w:szCs w:val="21"/>
                <w:highlight w:val="none"/>
              </w:rPr>
            </w:pPr>
          </w:p>
        </w:tc>
        <w:tc>
          <w:tcPr>
            <w:tcW w:w="1037" w:type="dxa"/>
            <w:vAlign w:val="center"/>
          </w:tcPr>
          <w:p>
            <w:pPr>
              <w:shd w:val="clear"/>
              <w:jc w:val="center"/>
              <w:rPr>
                <w:rFonts w:ascii="宋体" w:hAnsi="宋体" w:cs="宋体"/>
                <w:szCs w:val="21"/>
                <w:highlight w:val="none"/>
              </w:rPr>
            </w:pPr>
          </w:p>
        </w:tc>
        <w:tc>
          <w:tcPr>
            <w:tcW w:w="695" w:type="dxa"/>
            <w:vAlign w:val="center"/>
          </w:tcPr>
          <w:p>
            <w:pPr>
              <w:shd w:val="clear"/>
              <w:jc w:val="center"/>
              <w:rPr>
                <w:rFonts w:ascii="宋体" w:hAnsi="宋体" w:cs="宋体"/>
                <w:szCs w:val="21"/>
                <w:highlight w:val="none"/>
              </w:rPr>
            </w:pPr>
          </w:p>
        </w:tc>
        <w:tc>
          <w:tcPr>
            <w:tcW w:w="720" w:type="dxa"/>
            <w:vAlign w:val="center"/>
          </w:tcPr>
          <w:p>
            <w:pPr>
              <w:shd w:val="clear"/>
              <w:jc w:val="center"/>
              <w:rPr>
                <w:rFonts w:ascii="宋体" w:hAnsi="宋体" w:cs="宋体"/>
                <w:szCs w:val="21"/>
                <w:highlight w:val="none"/>
              </w:rPr>
            </w:pPr>
          </w:p>
        </w:tc>
        <w:tc>
          <w:tcPr>
            <w:tcW w:w="825" w:type="dxa"/>
            <w:vAlign w:val="center"/>
          </w:tcPr>
          <w:p>
            <w:pPr>
              <w:shd w:val="clear"/>
              <w:jc w:val="center"/>
              <w:rPr>
                <w:rFonts w:ascii="宋体" w:hAnsi="宋体" w:cs="宋体"/>
                <w:szCs w:val="21"/>
                <w:highlight w:val="none"/>
              </w:rPr>
            </w:pPr>
          </w:p>
        </w:tc>
        <w:tc>
          <w:tcPr>
            <w:tcW w:w="980" w:type="dxa"/>
            <w:vAlign w:val="center"/>
          </w:tcPr>
          <w:p>
            <w:pPr>
              <w:shd w:val="clear"/>
              <w:jc w:val="center"/>
              <w:rPr>
                <w:rFonts w:ascii="宋体" w:hAnsi="宋体" w:cs="宋体"/>
                <w:szCs w:val="21"/>
                <w:highlight w:val="none"/>
              </w:rPr>
            </w:pPr>
          </w:p>
        </w:tc>
        <w:tc>
          <w:tcPr>
            <w:tcW w:w="862" w:type="dxa"/>
            <w:vAlign w:val="center"/>
          </w:tcPr>
          <w:p>
            <w:pPr>
              <w:shd w:val="clear"/>
              <w:jc w:val="center"/>
              <w:rPr>
                <w:rFonts w:ascii="宋体" w:hAnsi="宋体" w:cs="宋体"/>
                <w:szCs w:val="21"/>
                <w:highlight w:val="none"/>
              </w:rPr>
            </w:pPr>
          </w:p>
        </w:tc>
        <w:tc>
          <w:tcPr>
            <w:tcW w:w="733" w:type="dxa"/>
            <w:vAlign w:val="center"/>
          </w:tcPr>
          <w:p>
            <w:pPr>
              <w:shd w:val="clear"/>
              <w:jc w:val="center"/>
              <w:rPr>
                <w:rFonts w:ascii="宋体" w:hAnsi="宋体" w:cs="宋体"/>
                <w:szCs w:val="21"/>
                <w:highlight w:val="none"/>
              </w:rPr>
            </w:pPr>
          </w:p>
        </w:tc>
        <w:tc>
          <w:tcPr>
            <w:tcW w:w="1686" w:type="dxa"/>
            <w:vAlign w:val="center"/>
          </w:tcPr>
          <w:p>
            <w:pPr>
              <w:shd w:val="clear"/>
              <w:jc w:val="center"/>
              <w:rPr>
                <w:rFonts w:ascii="宋体" w:hAnsi="宋体" w:cs="宋体"/>
                <w:szCs w:val="21"/>
                <w:highlight w:val="none"/>
              </w:rPr>
            </w:pPr>
          </w:p>
        </w:tc>
        <w:tc>
          <w:tcPr>
            <w:tcW w:w="1394" w:type="dxa"/>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见第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Align w:val="center"/>
          </w:tcPr>
          <w:p>
            <w:pPr>
              <w:numPr>
                <w:ilvl w:val="0"/>
                <w:numId w:val="160"/>
              </w:numPr>
              <w:shd w:val="clear"/>
              <w:tabs>
                <w:tab w:val="left" w:pos="142"/>
              </w:tabs>
              <w:jc w:val="center"/>
              <w:rPr>
                <w:rFonts w:ascii="宋体" w:hAnsi="宋体" w:cs="宋体"/>
                <w:szCs w:val="21"/>
                <w:highlight w:val="none"/>
              </w:rPr>
            </w:pPr>
          </w:p>
        </w:tc>
        <w:tc>
          <w:tcPr>
            <w:tcW w:w="1037" w:type="dxa"/>
            <w:vAlign w:val="center"/>
          </w:tcPr>
          <w:p>
            <w:pPr>
              <w:shd w:val="clear"/>
              <w:jc w:val="center"/>
              <w:rPr>
                <w:rFonts w:ascii="宋体" w:hAnsi="宋体" w:cs="宋体"/>
                <w:szCs w:val="21"/>
                <w:highlight w:val="none"/>
              </w:rPr>
            </w:pPr>
          </w:p>
        </w:tc>
        <w:tc>
          <w:tcPr>
            <w:tcW w:w="695" w:type="dxa"/>
            <w:vAlign w:val="center"/>
          </w:tcPr>
          <w:p>
            <w:pPr>
              <w:shd w:val="clear"/>
              <w:jc w:val="center"/>
              <w:rPr>
                <w:rFonts w:ascii="宋体" w:hAnsi="宋体" w:cs="宋体"/>
                <w:szCs w:val="21"/>
                <w:highlight w:val="none"/>
              </w:rPr>
            </w:pPr>
          </w:p>
        </w:tc>
        <w:tc>
          <w:tcPr>
            <w:tcW w:w="720" w:type="dxa"/>
            <w:vAlign w:val="center"/>
          </w:tcPr>
          <w:p>
            <w:pPr>
              <w:shd w:val="clear"/>
              <w:jc w:val="center"/>
              <w:rPr>
                <w:rFonts w:ascii="宋体" w:hAnsi="宋体" w:cs="宋体"/>
                <w:szCs w:val="21"/>
                <w:highlight w:val="none"/>
              </w:rPr>
            </w:pPr>
          </w:p>
        </w:tc>
        <w:tc>
          <w:tcPr>
            <w:tcW w:w="825" w:type="dxa"/>
            <w:vAlign w:val="center"/>
          </w:tcPr>
          <w:p>
            <w:pPr>
              <w:shd w:val="clear"/>
              <w:jc w:val="center"/>
              <w:rPr>
                <w:rFonts w:ascii="宋体" w:hAnsi="宋体" w:cs="宋体"/>
                <w:szCs w:val="21"/>
                <w:highlight w:val="none"/>
              </w:rPr>
            </w:pPr>
          </w:p>
        </w:tc>
        <w:tc>
          <w:tcPr>
            <w:tcW w:w="980" w:type="dxa"/>
            <w:vAlign w:val="center"/>
          </w:tcPr>
          <w:p>
            <w:pPr>
              <w:shd w:val="clear"/>
              <w:jc w:val="center"/>
              <w:rPr>
                <w:rFonts w:ascii="宋体" w:hAnsi="宋体" w:cs="宋体"/>
                <w:szCs w:val="21"/>
                <w:highlight w:val="none"/>
              </w:rPr>
            </w:pPr>
          </w:p>
        </w:tc>
        <w:tc>
          <w:tcPr>
            <w:tcW w:w="862" w:type="dxa"/>
            <w:vAlign w:val="center"/>
          </w:tcPr>
          <w:p>
            <w:pPr>
              <w:shd w:val="clear"/>
              <w:jc w:val="center"/>
              <w:rPr>
                <w:rFonts w:ascii="宋体" w:hAnsi="宋体" w:cs="宋体"/>
                <w:szCs w:val="21"/>
                <w:highlight w:val="none"/>
              </w:rPr>
            </w:pPr>
          </w:p>
        </w:tc>
        <w:tc>
          <w:tcPr>
            <w:tcW w:w="733" w:type="dxa"/>
            <w:vAlign w:val="center"/>
          </w:tcPr>
          <w:p>
            <w:pPr>
              <w:shd w:val="clear"/>
              <w:jc w:val="center"/>
              <w:rPr>
                <w:rFonts w:ascii="宋体" w:hAnsi="宋体" w:cs="宋体"/>
                <w:szCs w:val="21"/>
                <w:highlight w:val="none"/>
              </w:rPr>
            </w:pPr>
          </w:p>
        </w:tc>
        <w:tc>
          <w:tcPr>
            <w:tcW w:w="1686" w:type="dxa"/>
            <w:vAlign w:val="center"/>
          </w:tcPr>
          <w:p>
            <w:pPr>
              <w:shd w:val="clear"/>
              <w:jc w:val="center"/>
              <w:rPr>
                <w:rFonts w:ascii="宋体" w:hAnsi="宋体" w:cs="宋体"/>
                <w:szCs w:val="21"/>
                <w:highlight w:val="none"/>
              </w:rPr>
            </w:pPr>
          </w:p>
        </w:tc>
        <w:tc>
          <w:tcPr>
            <w:tcW w:w="1394" w:type="dxa"/>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见第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Align w:val="center"/>
          </w:tcPr>
          <w:p>
            <w:pPr>
              <w:numPr>
                <w:ilvl w:val="0"/>
                <w:numId w:val="160"/>
              </w:numPr>
              <w:shd w:val="clear"/>
              <w:tabs>
                <w:tab w:val="left" w:pos="142"/>
              </w:tabs>
              <w:jc w:val="center"/>
              <w:rPr>
                <w:rFonts w:ascii="宋体" w:hAnsi="宋体" w:cs="宋体"/>
                <w:szCs w:val="21"/>
                <w:highlight w:val="none"/>
              </w:rPr>
            </w:pPr>
          </w:p>
        </w:tc>
        <w:tc>
          <w:tcPr>
            <w:tcW w:w="1037" w:type="dxa"/>
            <w:vAlign w:val="center"/>
          </w:tcPr>
          <w:p>
            <w:pPr>
              <w:shd w:val="clear"/>
              <w:jc w:val="center"/>
              <w:rPr>
                <w:rFonts w:ascii="宋体" w:hAnsi="宋体" w:cs="宋体"/>
                <w:szCs w:val="21"/>
                <w:highlight w:val="none"/>
              </w:rPr>
            </w:pPr>
          </w:p>
        </w:tc>
        <w:tc>
          <w:tcPr>
            <w:tcW w:w="695" w:type="dxa"/>
            <w:vAlign w:val="center"/>
          </w:tcPr>
          <w:p>
            <w:pPr>
              <w:shd w:val="clear"/>
              <w:jc w:val="center"/>
              <w:rPr>
                <w:rFonts w:ascii="宋体" w:hAnsi="宋体" w:cs="宋体"/>
                <w:szCs w:val="21"/>
                <w:highlight w:val="none"/>
              </w:rPr>
            </w:pPr>
          </w:p>
        </w:tc>
        <w:tc>
          <w:tcPr>
            <w:tcW w:w="720" w:type="dxa"/>
            <w:vAlign w:val="center"/>
          </w:tcPr>
          <w:p>
            <w:pPr>
              <w:shd w:val="clear"/>
              <w:jc w:val="center"/>
              <w:rPr>
                <w:rFonts w:ascii="宋体" w:hAnsi="宋体" w:cs="宋体"/>
                <w:szCs w:val="21"/>
                <w:highlight w:val="none"/>
              </w:rPr>
            </w:pPr>
          </w:p>
        </w:tc>
        <w:tc>
          <w:tcPr>
            <w:tcW w:w="825" w:type="dxa"/>
            <w:vAlign w:val="center"/>
          </w:tcPr>
          <w:p>
            <w:pPr>
              <w:shd w:val="clear"/>
              <w:jc w:val="center"/>
              <w:rPr>
                <w:rFonts w:ascii="宋体" w:hAnsi="宋体" w:cs="宋体"/>
                <w:szCs w:val="21"/>
                <w:highlight w:val="none"/>
              </w:rPr>
            </w:pPr>
          </w:p>
        </w:tc>
        <w:tc>
          <w:tcPr>
            <w:tcW w:w="980" w:type="dxa"/>
            <w:vAlign w:val="center"/>
          </w:tcPr>
          <w:p>
            <w:pPr>
              <w:shd w:val="clear"/>
              <w:jc w:val="center"/>
              <w:rPr>
                <w:rFonts w:ascii="宋体" w:hAnsi="宋体" w:cs="宋体"/>
                <w:szCs w:val="21"/>
                <w:highlight w:val="none"/>
              </w:rPr>
            </w:pPr>
          </w:p>
        </w:tc>
        <w:tc>
          <w:tcPr>
            <w:tcW w:w="862" w:type="dxa"/>
            <w:vAlign w:val="center"/>
          </w:tcPr>
          <w:p>
            <w:pPr>
              <w:shd w:val="clear"/>
              <w:jc w:val="center"/>
              <w:rPr>
                <w:rFonts w:ascii="宋体" w:hAnsi="宋体" w:cs="宋体"/>
                <w:szCs w:val="21"/>
                <w:highlight w:val="none"/>
              </w:rPr>
            </w:pPr>
          </w:p>
        </w:tc>
        <w:tc>
          <w:tcPr>
            <w:tcW w:w="733" w:type="dxa"/>
            <w:vAlign w:val="center"/>
          </w:tcPr>
          <w:p>
            <w:pPr>
              <w:shd w:val="clear"/>
              <w:jc w:val="center"/>
              <w:rPr>
                <w:rFonts w:ascii="宋体" w:hAnsi="宋体" w:cs="宋体"/>
                <w:szCs w:val="21"/>
                <w:highlight w:val="none"/>
              </w:rPr>
            </w:pPr>
          </w:p>
        </w:tc>
        <w:tc>
          <w:tcPr>
            <w:tcW w:w="1686" w:type="dxa"/>
            <w:vAlign w:val="center"/>
          </w:tcPr>
          <w:p>
            <w:pPr>
              <w:shd w:val="clear"/>
              <w:jc w:val="center"/>
              <w:rPr>
                <w:rFonts w:ascii="宋体" w:hAnsi="宋体" w:cs="宋体"/>
                <w:szCs w:val="21"/>
                <w:highlight w:val="none"/>
              </w:rPr>
            </w:pPr>
          </w:p>
        </w:tc>
        <w:tc>
          <w:tcPr>
            <w:tcW w:w="1394" w:type="dxa"/>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见第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Align w:val="center"/>
          </w:tcPr>
          <w:p>
            <w:pPr>
              <w:numPr>
                <w:ilvl w:val="0"/>
                <w:numId w:val="160"/>
              </w:numPr>
              <w:shd w:val="clear"/>
              <w:tabs>
                <w:tab w:val="left" w:pos="142"/>
              </w:tabs>
              <w:jc w:val="center"/>
              <w:rPr>
                <w:rFonts w:ascii="宋体" w:hAnsi="宋体" w:cs="宋体"/>
                <w:szCs w:val="21"/>
                <w:highlight w:val="none"/>
              </w:rPr>
            </w:pPr>
          </w:p>
        </w:tc>
        <w:tc>
          <w:tcPr>
            <w:tcW w:w="1037" w:type="dxa"/>
            <w:vAlign w:val="center"/>
          </w:tcPr>
          <w:p>
            <w:pPr>
              <w:shd w:val="clear"/>
              <w:jc w:val="center"/>
              <w:rPr>
                <w:rFonts w:ascii="宋体" w:hAnsi="宋体" w:cs="宋体"/>
                <w:szCs w:val="21"/>
                <w:highlight w:val="none"/>
              </w:rPr>
            </w:pPr>
          </w:p>
        </w:tc>
        <w:tc>
          <w:tcPr>
            <w:tcW w:w="695" w:type="dxa"/>
            <w:vAlign w:val="center"/>
          </w:tcPr>
          <w:p>
            <w:pPr>
              <w:shd w:val="clear"/>
              <w:jc w:val="center"/>
              <w:rPr>
                <w:rFonts w:ascii="宋体" w:hAnsi="宋体" w:cs="宋体"/>
                <w:szCs w:val="21"/>
                <w:highlight w:val="none"/>
              </w:rPr>
            </w:pPr>
          </w:p>
        </w:tc>
        <w:tc>
          <w:tcPr>
            <w:tcW w:w="720" w:type="dxa"/>
            <w:vAlign w:val="center"/>
          </w:tcPr>
          <w:p>
            <w:pPr>
              <w:shd w:val="clear"/>
              <w:jc w:val="center"/>
              <w:rPr>
                <w:rFonts w:ascii="宋体" w:hAnsi="宋体" w:cs="宋体"/>
                <w:szCs w:val="21"/>
                <w:highlight w:val="none"/>
              </w:rPr>
            </w:pPr>
          </w:p>
        </w:tc>
        <w:tc>
          <w:tcPr>
            <w:tcW w:w="825" w:type="dxa"/>
            <w:vAlign w:val="center"/>
          </w:tcPr>
          <w:p>
            <w:pPr>
              <w:shd w:val="clear"/>
              <w:jc w:val="center"/>
              <w:rPr>
                <w:rFonts w:ascii="宋体" w:hAnsi="宋体" w:cs="宋体"/>
                <w:szCs w:val="21"/>
                <w:highlight w:val="none"/>
              </w:rPr>
            </w:pPr>
          </w:p>
        </w:tc>
        <w:tc>
          <w:tcPr>
            <w:tcW w:w="980" w:type="dxa"/>
            <w:vAlign w:val="center"/>
          </w:tcPr>
          <w:p>
            <w:pPr>
              <w:shd w:val="clear"/>
              <w:jc w:val="center"/>
              <w:rPr>
                <w:rFonts w:ascii="宋体" w:hAnsi="宋体" w:cs="宋体"/>
                <w:szCs w:val="21"/>
                <w:highlight w:val="none"/>
              </w:rPr>
            </w:pPr>
          </w:p>
        </w:tc>
        <w:tc>
          <w:tcPr>
            <w:tcW w:w="862" w:type="dxa"/>
            <w:vAlign w:val="center"/>
          </w:tcPr>
          <w:p>
            <w:pPr>
              <w:shd w:val="clear"/>
              <w:jc w:val="center"/>
              <w:rPr>
                <w:rFonts w:ascii="宋体" w:hAnsi="宋体" w:cs="宋体"/>
                <w:szCs w:val="21"/>
                <w:highlight w:val="none"/>
              </w:rPr>
            </w:pPr>
          </w:p>
        </w:tc>
        <w:tc>
          <w:tcPr>
            <w:tcW w:w="733" w:type="dxa"/>
            <w:vAlign w:val="center"/>
          </w:tcPr>
          <w:p>
            <w:pPr>
              <w:shd w:val="clear"/>
              <w:jc w:val="center"/>
              <w:rPr>
                <w:rFonts w:ascii="宋体" w:hAnsi="宋体" w:cs="宋体"/>
                <w:szCs w:val="21"/>
                <w:highlight w:val="none"/>
              </w:rPr>
            </w:pPr>
          </w:p>
        </w:tc>
        <w:tc>
          <w:tcPr>
            <w:tcW w:w="1686" w:type="dxa"/>
            <w:vAlign w:val="center"/>
          </w:tcPr>
          <w:p>
            <w:pPr>
              <w:shd w:val="clear"/>
              <w:jc w:val="center"/>
              <w:rPr>
                <w:rFonts w:ascii="宋体" w:hAnsi="宋体" w:cs="宋体"/>
                <w:szCs w:val="21"/>
                <w:highlight w:val="none"/>
              </w:rPr>
            </w:pPr>
          </w:p>
        </w:tc>
        <w:tc>
          <w:tcPr>
            <w:tcW w:w="1394" w:type="dxa"/>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见第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bl>
    <w:p>
      <w:pPr>
        <w:shd w:val="clear"/>
        <w:spacing w:line="500" w:lineRule="exact"/>
        <w:rPr>
          <w:rFonts w:ascii="宋体" w:hAnsi="宋体" w:cs="宋体"/>
          <w:bCs/>
          <w:szCs w:val="21"/>
          <w:highlight w:val="none"/>
        </w:rPr>
      </w:pPr>
      <w:r>
        <w:rPr>
          <w:rFonts w:hint="eastAsia" w:ascii="宋体" w:hAnsi="宋体" w:cs="宋体"/>
          <w:bCs/>
          <w:szCs w:val="21"/>
          <w:highlight w:val="none"/>
        </w:rPr>
        <w:t>备注：</w:t>
      </w:r>
    </w:p>
    <w:p>
      <w:pPr>
        <w:numPr>
          <w:ilvl w:val="0"/>
          <w:numId w:val="161"/>
        </w:numPr>
        <w:shd w:val="clear"/>
        <w:spacing w:line="500" w:lineRule="exact"/>
        <w:rPr>
          <w:rFonts w:ascii="宋体" w:hAnsi="宋体" w:cs="宋体"/>
          <w:bCs/>
          <w:szCs w:val="21"/>
          <w:highlight w:val="none"/>
        </w:rPr>
      </w:pPr>
      <w:r>
        <w:rPr>
          <w:rFonts w:hint="eastAsia" w:ascii="宋体" w:hAnsi="宋体" w:cs="宋体"/>
          <w:szCs w:val="21"/>
          <w:highlight w:val="none"/>
        </w:rPr>
        <w:t>根据评分表的要求提交相应资料</w:t>
      </w:r>
      <w:r>
        <w:rPr>
          <w:rFonts w:hint="eastAsia" w:ascii="宋体" w:hAnsi="宋体" w:cs="宋体"/>
          <w:bCs/>
          <w:szCs w:val="21"/>
          <w:highlight w:val="none"/>
        </w:rPr>
        <w:t xml:space="preserve">。 </w:t>
      </w:r>
    </w:p>
    <w:p>
      <w:pPr>
        <w:numPr>
          <w:ilvl w:val="0"/>
          <w:numId w:val="161"/>
        </w:numPr>
        <w:shd w:val="clear"/>
        <w:spacing w:line="500" w:lineRule="exact"/>
        <w:rPr>
          <w:rFonts w:ascii="宋体" w:hAnsi="宋体" w:cs="宋体"/>
          <w:spacing w:val="4"/>
          <w:szCs w:val="21"/>
          <w:highlight w:val="none"/>
        </w:rPr>
      </w:pPr>
      <w:r>
        <w:rPr>
          <w:rFonts w:hint="eastAsia" w:ascii="宋体" w:hAnsi="宋体" w:cs="宋体"/>
          <w:bCs/>
          <w:szCs w:val="21"/>
          <w:highlight w:val="none"/>
        </w:rPr>
        <w:t>如本表格式内容不能满足需要，投标人可根据本表格式自行扩展填写，但必须体现以上内容。</w:t>
      </w:r>
    </w:p>
    <w:p>
      <w:pPr>
        <w:shd w:val="clear"/>
        <w:spacing w:line="500" w:lineRule="exact"/>
        <w:ind w:firstLine="436" w:firstLineChars="200"/>
        <w:rPr>
          <w:rFonts w:ascii="宋体" w:hAnsi="宋体" w:cs="宋体"/>
          <w:spacing w:val="4"/>
          <w:szCs w:val="21"/>
          <w:highlight w:val="none"/>
        </w:rPr>
      </w:pPr>
    </w:p>
    <w:p>
      <w:pPr>
        <w:shd w:val="clear"/>
        <w:spacing w:line="500" w:lineRule="exact"/>
        <w:ind w:firstLine="436" w:firstLineChars="200"/>
        <w:rPr>
          <w:rFonts w:ascii="宋体" w:hAnsi="宋体" w:cs="宋体"/>
          <w:spacing w:val="4"/>
          <w:szCs w:val="21"/>
          <w:highlight w:val="none"/>
        </w:rPr>
      </w:pPr>
    </w:p>
    <w:p>
      <w:pPr>
        <w:shd w:val="clear"/>
        <w:spacing w:line="500" w:lineRule="exact"/>
        <w:rPr>
          <w:rFonts w:ascii="宋体" w:hAnsi="宋体" w:cs="宋体"/>
          <w:szCs w:val="21"/>
          <w:highlight w:val="none"/>
          <w:u w:val="single"/>
        </w:rPr>
      </w:pPr>
      <w:r>
        <w:rPr>
          <w:rFonts w:hint="eastAsia" w:ascii="宋体" w:hAnsi="宋体" w:cs="宋体"/>
          <w:spacing w:val="4"/>
          <w:szCs w:val="21"/>
          <w:highlight w:val="none"/>
        </w:rPr>
        <w:t>投标人名称（加盖公章）：</w:t>
      </w:r>
      <w:r>
        <w:rPr>
          <w:rFonts w:hint="eastAsia" w:ascii="宋体" w:hAnsi="宋体" w:cs="宋体"/>
          <w:spacing w:val="4"/>
          <w:szCs w:val="21"/>
          <w:highlight w:val="none"/>
          <w:u w:val="single"/>
        </w:rPr>
        <w:t xml:space="preserve">                             </w:t>
      </w:r>
    </w:p>
    <w:p>
      <w:pPr>
        <w:shd w:val="clear"/>
        <w:rPr>
          <w:rFonts w:ascii="宋体" w:hAnsi="宋体" w:cs="宋体"/>
          <w:spacing w:val="4"/>
          <w:szCs w:val="21"/>
          <w:highlight w:val="none"/>
        </w:rPr>
      </w:pPr>
    </w:p>
    <w:p>
      <w:pPr>
        <w:shd w:val="clear"/>
        <w:spacing w:line="520" w:lineRule="exact"/>
        <w:rPr>
          <w:rFonts w:ascii="宋体" w:hAnsi="宋体" w:cs="宋体"/>
          <w:spacing w:val="4"/>
          <w:szCs w:val="21"/>
          <w:highlight w:val="none"/>
        </w:rPr>
      </w:pPr>
      <w:r>
        <w:rPr>
          <w:rFonts w:hint="eastAsia" w:ascii="宋体" w:hAnsi="宋体" w:cs="宋体"/>
          <w:szCs w:val="21"/>
          <w:highlight w:val="none"/>
        </w:rPr>
        <w:t>法定代表人或投标人授权代表（签名或盖章）：</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职务：</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日期</w:t>
      </w:r>
      <w:r>
        <w:rPr>
          <w:rFonts w:hint="eastAsia" w:ascii="宋体" w:hAnsi="宋体" w:cs="宋体"/>
          <w:spacing w:val="4"/>
          <w:szCs w:val="21"/>
          <w:highlight w:val="none"/>
          <w:u w:val="single"/>
        </w:rPr>
        <w:t xml:space="preserve">         </w:t>
      </w:r>
    </w:p>
    <w:p>
      <w:pPr>
        <w:numPr>
          <w:ilvl w:val="0"/>
          <w:numId w:val="147"/>
        </w:numPr>
        <w:shd w:val="clear"/>
        <w:spacing w:line="440" w:lineRule="exact"/>
        <w:rPr>
          <w:rFonts w:ascii="宋体" w:hAnsi="宋体" w:cs="宋体"/>
          <w:szCs w:val="21"/>
          <w:highlight w:val="none"/>
        </w:rPr>
      </w:pPr>
      <w:r>
        <w:rPr>
          <w:rFonts w:hint="eastAsia" w:ascii="宋体" w:hAnsi="宋体" w:cs="宋体"/>
          <w:szCs w:val="21"/>
          <w:highlight w:val="none"/>
        </w:rPr>
        <w:br w:type="page"/>
      </w:r>
    </w:p>
    <w:p>
      <w:pPr>
        <w:numPr>
          <w:ilvl w:val="0"/>
          <w:numId w:val="147"/>
        </w:numPr>
        <w:shd w:val="clear"/>
        <w:spacing w:line="440" w:lineRule="exact"/>
        <w:rPr>
          <w:rFonts w:ascii="宋体" w:hAnsi="宋体" w:cs="宋体"/>
          <w:szCs w:val="21"/>
          <w:highlight w:val="none"/>
        </w:rPr>
      </w:pPr>
    </w:p>
    <w:p>
      <w:pPr>
        <w:pStyle w:val="5"/>
        <w:shd w:val="clear"/>
        <w:adjustRightInd w:val="0"/>
        <w:snapToGrid w:val="0"/>
        <w:spacing w:before="156" w:beforeLines="50" w:after="156" w:afterLines="50" w:line="360" w:lineRule="auto"/>
        <w:jc w:val="center"/>
        <w:rPr>
          <w:b w:val="0"/>
          <w:bCs w:val="0"/>
          <w:highlight w:val="none"/>
        </w:rPr>
      </w:pPr>
      <w:r>
        <w:rPr>
          <w:rFonts w:hint="eastAsia"/>
          <w:b w:val="0"/>
          <w:bCs w:val="0"/>
          <w:highlight w:val="none"/>
        </w:rPr>
        <w:t>投标人基本情况表</w:t>
      </w:r>
      <w:bookmarkEnd w:id="140"/>
      <w:bookmarkEnd w:id="141"/>
    </w:p>
    <w:p>
      <w:pPr>
        <w:numPr>
          <w:ilvl w:val="0"/>
          <w:numId w:val="162"/>
        </w:numPr>
        <w:shd w:val="clear"/>
        <w:spacing w:line="360" w:lineRule="auto"/>
        <w:rPr>
          <w:rFonts w:ascii="宋体" w:hAnsi="宋体" w:cs="宋体"/>
          <w:szCs w:val="21"/>
          <w:highlight w:val="none"/>
        </w:rPr>
      </w:pPr>
      <w:r>
        <w:rPr>
          <w:rFonts w:hint="eastAsia" w:ascii="宋体" w:hAnsi="宋体" w:cs="宋体"/>
          <w:szCs w:val="21"/>
          <w:highlight w:val="none"/>
        </w:rPr>
        <w:t>公司基本情况</w:t>
      </w:r>
    </w:p>
    <w:p>
      <w:pPr>
        <w:numPr>
          <w:ilvl w:val="1"/>
          <w:numId w:val="162"/>
        </w:numPr>
        <w:shd w:val="clear"/>
        <w:tabs>
          <w:tab w:val="left" w:pos="420"/>
          <w:tab w:val="clear" w:pos="840"/>
        </w:tabs>
        <w:spacing w:line="360" w:lineRule="auto"/>
        <w:ind w:left="420"/>
        <w:rPr>
          <w:rFonts w:ascii="宋体" w:hAnsi="宋体" w:cs="宋体"/>
          <w:szCs w:val="21"/>
          <w:highlight w:val="none"/>
        </w:rPr>
      </w:pPr>
      <w:r>
        <w:rPr>
          <w:rFonts w:hint="eastAsia" w:ascii="宋体" w:hAnsi="宋体" w:cs="宋体"/>
          <w:szCs w:val="21"/>
          <w:highlight w:val="none"/>
        </w:rPr>
        <w:t>公司名称：</w:t>
      </w:r>
      <w:r>
        <w:rPr>
          <w:rFonts w:hint="eastAsia" w:ascii="宋体" w:hAnsi="宋体" w:cs="宋体"/>
          <w:szCs w:val="21"/>
          <w:highlight w:val="none"/>
          <w:u w:val="single"/>
        </w:rPr>
        <w:t xml:space="preserve">                              </w:t>
      </w:r>
      <w:r>
        <w:rPr>
          <w:rFonts w:hint="eastAsia" w:ascii="宋体" w:hAnsi="宋体" w:cs="宋体"/>
          <w:szCs w:val="21"/>
          <w:highlight w:val="none"/>
        </w:rPr>
        <w:t xml:space="preserve">  电话号码：</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pPr>
        <w:numPr>
          <w:ilvl w:val="1"/>
          <w:numId w:val="162"/>
        </w:numPr>
        <w:shd w:val="clear"/>
        <w:tabs>
          <w:tab w:val="left" w:pos="420"/>
          <w:tab w:val="clear" w:pos="840"/>
        </w:tabs>
        <w:spacing w:line="360" w:lineRule="auto"/>
        <w:ind w:left="420"/>
        <w:rPr>
          <w:rFonts w:ascii="宋体" w:hAnsi="宋体" w:cs="宋体"/>
          <w:szCs w:val="21"/>
          <w:highlight w:val="none"/>
        </w:rPr>
      </w:pPr>
      <w:r>
        <w:rPr>
          <w:rFonts w:hint="eastAsia" w:ascii="宋体" w:hAnsi="宋体" w:cs="宋体"/>
          <w:szCs w:val="21"/>
          <w:highlight w:val="none"/>
        </w:rPr>
        <w:t>地    址：</w:t>
      </w:r>
      <w:r>
        <w:rPr>
          <w:rFonts w:hint="eastAsia" w:ascii="宋体" w:hAnsi="宋体" w:cs="宋体"/>
          <w:szCs w:val="21"/>
          <w:highlight w:val="none"/>
          <w:u w:val="single"/>
        </w:rPr>
        <w:t xml:space="preserve">                              </w:t>
      </w:r>
      <w:r>
        <w:rPr>
          <w:rFonts w:hint="eastAsia" w:ascii="宋体" w:hAnsi="宋体" w:cs="宋体"/>
          <w:szCs w:val="21"/>
          <w:highlight w:val="none"/>
        </w:rPr>
        <w:t xml:space="preserve">  传    真：</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pPr>
        <w:numPr>
          <w:ilvl w:val="1"/>
          <w:numId w:val="162"/>
        </w:numPr>
        <w:shd w:val="clear"/>
        <w:tabs>
          <w:tab w:val="left" w:pos="420"/>
          <w:tab w:val="clear" w:pos="840"/>
        </w:tabs>
        <w:spacing w:line="360" w:lineRule="auto"/>
        <w:ind w:left="420"/>
        <w:rPr>
          <w:rFonts w:ascii="宋体" w:hAnsi="宋体" w:cs="宋体"/>
          <w:szCs w:val="21"/>
          <w:highlight w:val="none"/>
          <w:u w:val="single"/>
        </w:rPr>
      </w:pPr>
      <w:r>
        <w:rPr>
          <w:rFonts w:hint="eastAsia" w:ascii="宋体" w:hAnsi="宋体" w:cs="宋体"/>
          <w:szCs w:val="21"/>
          <w:highlight w:val="none"/>
        </w:rPr>
        <w:t>注册资金：</w:t>
      </w:r>
      <w:r>
        <w:rPr>
          <w:rFonts w:hint="eastAsia" w:ascii="宋体" w:hAnsi="宋体" w:cs="宋体"/>
          <w:szCs w:val="21"/>
          <w:highlight w:val="none"/>
          <w:u w:val="single"/>
        </w:rPr>
        <w:t xml:space="preserve">                              </w:t>
      </w:r>
      <w:r>
        <w:rPr>
          <w:rFonts w:hint="eastAsia" w:ascii="宋体" w:hAnsi="宋体" w:cs="宋体"/>
          <w:szCs w:val="21"/>
          <w:highlight w:val="none"/>
        </w:rPr>
        <w:t xml:space="preserve">  经济性质：</w:t>
      </w:r>
      <w:r>
        <w:rPr>
          <w:rFonts w:hint="eastAsia" w:ascii="宋体" w:hAnsi="宋体" w:cs="宋体"/>
          <w:szCs w:val="21"/>
          <w:highlight w:val="none"/>
          <w:u w:val="single"/>
        </w:rPr>
        <w:t xml:space="preserve">          </w:t>
      </w:r>
    </w:p>
    <w:p>
      <w:pPr>
        <w:numPr>
          <w:ilvl w:val="1"/>
          <w:numId w:val="162"/>
        </w:numPr>
        <w:shd w:val="clear"/>
        <w:tabs>
          <w:tab w:val="left" w:pos="420"/>
          <w:tab w:val="clear" w:pos="840"/>
        </w:tabs>
        <w:spacing w:line="360" w:lineRule="auto"/>
        <w:ind w:left="420"/>
        <w:rPr>
          <w:rFonts w:ascii="宋体" w:hAnsi="宋体" w:cs="宋体"/>
          <w:szCs w:val="21"/>
          <w:highlight w:val="none"/>
        </w:rPr>
      </w:pPr>
      <w:r>
        <w:rPr>
          <w:rFonts w:hint="eastAsia" w:ascii="宋体" w:hAnsi="宋体" w:cs="宋体"/>
          <w:szCs w:val="21"/>
          <w:highlight w:val="none"/>
        </w:rPr>
        <w:t xml:space="preserve">公司开户银行名称及账号：     </w:t>
      </w:r>
    </w:p>
    <w:p>
      <w:pPr>
        <w:numPr>
          <w:ilvl w:val="1"/>
          <w:numId w:val="162"/>
        </w:numPr>
        <w:shd w:val="clear"/>
        <w:tabs>
          <w:tab w:val="left" w:pos="420"/>
          <w:tab w:val="clear" w:pos="840"/>
        </w:tabs>
        <w:spacing w:line="360" w:lineRule="auto"/>
        <w:ind w:left="420"/>
        <w:rPr>
          <w:rFonts w:ascii="宋体" w:hAnsi="宋体" w:cs="宋体"/>
          <w:szCs w:val="21"/>
          <w:highlight w:val="none"/>
        </w:rPr>
      </w:pPr>
      <w:r>
        <w:rPr>
          <w:rFonts w:hint="eastAsia" w:ascii="宋体" w:hAnsi="宋体" w:cs="宋体"/>
          <w:szCs w:val="21"/>
          <w:highlight w:val="none"/>
        </w:rPr>
        <w:t xml:space="preserve">营业注册执照号：   </w:t>
      </w:r>
    </w:p>
    <w:p>
      <w:pPr>
        <w:numPr>
          <w:ilvl w:val="1"/>
          <w:numId w:val="162"/>
        </w:numPr>
        <w:shd w:val="clear"/>
        <w:tabs>
          <w:tab w:val="left" w:pos="420"/>
          <w:tab w:val="clear" w:pos="840"/>
        </w:tabs>
        <w:spacing w:line="360" w:lineRule="auto"/>
        <w:ind w:left="420"/>
        <w:rPr>
          <w:rFonts w:ascii="宋体" w:hAnsi="宋体" w:cs="宋体"/>
          <w:szCs w:val="21"/>
          <w:highlight w:val="none"/>
        </w:rPr>
      </w:pPr>
      <w:r>
        <w:rPr>
          <w:rFonts w:hint="eastAsia" w:ascii="宋体" w:hAnsi="宋体" w:cs="宋体"/>
          <w:szCs w:val="21"/>
          <w:highlight w:val="none"/>
        </w:rPr>
        <w:t>公司简介</w:t>
      </w:r>
    </w:p>
    <w:p>
      <w:pPr>
        <w:shd w:val="clear"/>
        <w:spacing w:line="360" w:lineRule="auto"/>
        <w:ind w:left="360"/>
        <w:rPr>
          <w:rFonts w:ascii="宋体" w:hAnsi="宋体" w:cs="宋体"/>
          <w:szCs w:val="21"/>
          <w:highlight w:val="none"/>
        </w:rPr>
      </w:pPr>
      <w:r>
        <w:rPr>
          <w:rFonts w:hint="eastAsia" w:ascii="宋体" w:hAnsi="宋体" w:cs="宋体"/>
          <w:szCs w:val="21"/>
          <w:highlight w:val="none"/>
        </w:rPr>
        <w:t>文字描述：</w:t>
      </w:r>
      <w:r>
        <w:rPr>
          <w:rFonts w:hint="eastAsia" w:ascii="宋体" w:hAnsi="宋体" w:cs="宋体"/>
          <w:bCs/>
          <w:szCs w:val="21"/>
          <w:highlight w:val="none"/>
          <w:lang w:val="en-GB"/>
        </w:rPr>
        <w:t>发展历程、经营规模及服务理念</w:t>
      </w:r>
      <w:r>
        <w:rPr>
          <w:rFonts w:hint="eastAsia" w:ascii="宋体" w:hAnsi="宋体" w:cs="宋体"/>
          <w:szCs w:val="21"/>
          <w:highlight w:val="none"/>
        </w:rPr>
        <w:t>、技术力量、财务状况、管理水平等方面进行阐述</w:t>
      </w:r>
    </w:p>
    <w:p>
      <w:pPr>
        <w:shd w:val="clear"/>
        <w:spacing w:line="360" w:lineRule="auto"/>
        <w:ind w:left="360"/>
        <w:rPr>
          <w:rFonts w:ascii="宋体" w:hAnsi="宋体" w:cs="宋体"/>
          <w:szCs w:val="21"/>
          <w:highlight w:val="none"/>
        </w:rPr>
      </w:pPr>
      <w:r>
        <w:rPr>
          <w:rFonts w:hint="eastAsia" w:ascii="宋体" w:hAnsi="宋体" w:cs="宋体"/>
          <w:szCs w:val="21"/>
          <w:highlight w:val="none"/>
        </w:rPr>
        <w:t>图片描述：</w:t>
      </w:r>
      <w:r>
        <w:rPr>
          <w:rFonts w:hint="eastAsia" w:ascii="宋体" w:hAnsi="宋体" w:cs="宋体"/>
          <w:bCs/>
          <w:szCs w:val="21"/>
          <w:highlight w:val="none"/>
          <w:lang w:val="en-GB"/>
        </w:rPr>
        <w:t>经营场所、主要或关键产品介绍、生产场所及工艺流程等。</w:t>
      </w:r>
    </w:p>
    <w:p>
      <w:pPr>
        <w:numPr>
          <w:ilvl w:val="0"/>
          <w:numId w:val="162"/>
        </w:numPr>
        <w:shd w:val="clear"/>
        <w:spacing w:line="360" w:lineRule="auto"/>
        <w:rPr>
          <w:rFonts w:ascii="宋体" w:hAnsi="宋体" w:cs="宋体"/>
          <w:szCs w:val="21"/>
          <w:highlight w:val="none"/>
        </w:rPr>
      </w:pPr>
      <w:r>
        <w:rPr>
          <w:rFonts w:hint="eastAsia" w:ascii="宋体" w:hAnsi="宋体" w:cs="宋体"/>
          <w:szCs w:val="21"/>
          <w:highlight w:val="none"/>
        </w:rPr>
        <w:t>投标人获得国家有关部门颁发的资质证书和奖项：</w:t>
      </w:r>
    </w:p>
    <w:tbl>
      <w:tblPr>
        <w:tblStyle w:val="22"/>
        <w:tblW w:w="93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2349"/>
        <w:gridCol w:w="2349"/>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349" w:type="dxa"/>
            <w:tcBorders>
              <w:top w:val="single" w:color="auto" w:sz="12" w:space="0"/>
              <w:left w:val="single" w:color="auto" w:sz="12" w:space="0"/>
            </w:tcBorders>
          </w:tcPr>
          <w:p>
            <w:pPr>
              <w:shd w:val="clear"/>
              <w:spacing w:line="360" w:lineRule="auto"/>
              <w:jc w:val="center"/>
              <w:rPr>
                <w:rFonts w:ascii="宋体" w:hAnsi="宋体" w:cs="宋体"/>
                <w:szCs w:val="21"/>
                <w:highlight w:val="none"/>
              </w:rPr>
            </w:pPr>
            <w:r>
              <w:rPr>
                <w:rFonts w:hint="eastAsia" w:ascii="宋体" w:hAnsi="宋体" w:cs="宋体"/>
                <w:szCs w:val="21"/>
                <w:highlight w:val="none"/>
              </w:rPr>
              <w:t xml:space="preserve">  证书名称</w:t>
            </w:r>
          </w:p>
        </w:tc>
        <w:tc>
          <w:tcPr>
            <w:tcW w:w="2349" w:type="dxa"/>
            <w:tcBorders>
              <w:top w:val="single" w:color="auto" w:sz="12" w:space="0"/>
            </w:tcBorders>
          </w:tcPr>
          <w:p>
            <w:pPr>
              <w:shd w:val="clear"/>
              <w:spacing w:line="360" w:lineRule="auto"/>
              <w:jc w:val="center"/>
              <w:rPr>
                <w:rFonts w:ascii="宋体" w:hAnsi="宋体" w:cs="宋体"/>
                <w:szCs w:val="21"/>
                <w:highlight w:val="none"/>
              </w:rPr>
            </w:pPr>
            <w:r>
              <w:rPr>
                <w:rFonts w:hint="eastAsia" w:ascii="宋体" w:hAnsi="宋体" w:cs="宋体"/>
                <w:szCs w:val="21"/>
                <w:highlight w:val="none"/>
              </w:rPr>
              <w:t>发证单位</w:t>
            </w:r>
          </w:p>
        </w:tc>
        <w:tc>
          <w:tcPr>
            <w:tcW w:w="2349" w:type="dxa"/>
            <w:tcBorders>
              <w:top w:val="single" w:color="auto" w:sz="12" w:space="0"/>
            </w:tcBorders>
          </w:tcPr>
          <w:p>
            <w:pPr>
              <w:shd w:val="clear"/>
              <w:spacing w:line="360" w:lineRule="auto"/>
              <w:jc w:val="center"/>
              <w:rPr>
                <w:rFonts w:ascii="宋体" w:hAnsi="宋体" w:cs="宋体"/>
                <w:szCs w:val="21"/>
                <w:highlight w:val="none"/>
              </w:rPr>
            </w:pPr>
            <w:r>
              <w:rPr>
                <w:rFonts w:hint="eastAsia" w:ascii="宋体" w:hAnsi="宋体" w:cs="宋体"/>
                <w:szCs w:val="21"/>
                <w:highlight w:val="none"/>
              </w:rPr>
              <w:t>证书等级</w:t>
            </w:r>
          </w:p>
        </w:tc>
        <w:tc>
          <w:tcPr>
            <w:tcW w:w="2349" w:type="dxa"/>
            <w:tcBorders>
              <w:top w:val="single" w:color="auto" w:sz="12" w:space="0"/>
              <w:right w:val="single" w:color="auto" w:sz="12" w:space="0"/>
            </w:tcBorders>
          </w:tcPr>
          <w:p>
            <w:pPr>
              <w:shd w:val="clear"/>
              <w:spacing w:line="360" w:lineRule="auto"/>
              <w:jc w:val="center"/>
              <w:rPr>
                <w:rFonts w:ascii="宋体" w:hAnsi="宋体" w:cs="宋体"/>
                <w:szCs w:val="21"/>
                <w:highlight w:val="none"/>
              </w:rPr>
            </w:pPr>
            <w:r>
              <w:rPr>
                <w:rFonts w:hint="eastAsia" w:ascii="宋体" w:hAnsi="宋体" w:cs="宋体"/>
                <w:szCs w:val="21"/>
                <w:highlight w:val="none"/>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9" w:type="dxa"/>
            <w:tcBorders>
              <w:left w:val="single" w:color="auto" w:sz="12" w:space="0"/>
            </w:tcBorders>
          </w:tcPr>
          <w:p>
            <w:pPr>
              <w:shd w:val="clear"/>
              <w:spacing w:line="360" w:lineRule="auto"/>
              <w:jc w:val="center"/>
              <w:rPr>
                <w:rFonts w:ascii="宋体" w:hAnsi="宋体" w:cs="宋体"/>
                <w:szCs w:val="21"/>
                <w:highlight w:val="none"/>
              </w:rPr>
            </w:pPr>
          </w:p>
        </w:tc>
        <w:tc>
          <w:tcPr>
            <w:tcW w:w="2349" w:type="dxa"/>
          </w:tcPr>
          <w:p>
            <w:pPr>
              <w:shd w:val="clear"/>
              <w:spacing w:line="360" w:lineRule="auto"/>
              <w:jc w:val="center"/>
              <w:rPr>
                <w:rFonts w:ascii="宋体" w:hAnsi="宋体" w:cs="宋体"/>
                <w:szCs w:val="21"/>
                <w:highlight w:val="none"/>
              </w:rPr>
            </w:pPr>
          </w:p>
        </w:tc>
        <w:tc>
          <w:tcPr>
            <w:tcW w:w="2349" w:type="dxa"/>
          </w:tcPr>
          <w:p>
            <w:pPr>
              <w:shd w:val="clear"/>
              <w:spacing w:line="360" w:lineRule="auto"/>
              <w:jc w:val="center"/>
              <w:rPr>
                <w:rFonts w:ascii="宋体" w:hAnsi="宋体" w:cs="宋体"/>
                <w:szCs w:val="21"/>
                <w:highlight w:val="none"/>
              </w:rPr>
            </w:pPr>
          </w:p>
        </w:tc>
        <w:tc>
          <w:tcPr>
            <w:tcW w:w="2349" w:type="dxa"/>
            <w:tcBorders>
              <w:right w:val="single" w:color="auto" w:sz="12" w:space="0"/>
            </w:tcBorders>
          </w:tcPr>
          <w:p>
            <w:pPr>
              <w:shd w:val="clea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9" w:type="dxa"/>
            <w:tcBorders>
              <w:left w:val="single" w:color="auto" w:sz="12" w:space="0"/>
              <w:bottom w:val="single" w:color="auto" w:sz="12" w:space="0"/>
            </w:tcBorders>
          </w:tcPr>
          <w:p>
            <w:pPr>
              <w:shd w:val="clear"/>
              <w:spacing w:line="360" w:lineRule="auto"/>
              <w:jc w:val="center"/>
              <w:rPr>
                <w:rFonts w:ascii="宋体" w:hAnsi="宋体" w:cs="宋体"/>
                <w:szCs w:val="21"/>
                <w:highlight w:val="none"/>
              </w:rPr>
            </w:pPr>
          </w:p>
        </w:tc>
        <w:tc>
          <w:tcPr>
            <w:tcW w:w="2349" w:type="dxa"/>
            <w:tcBorders>
              <w:bottom w:val="single" w:color="auto" w:sz="12" w:space="0"/>
            </w:tcBorders>
          </w:tcPr>
          <w:p>
            <w:pPr>
              <w:shd w:val="clear"/>
              <w:spacing w:line="360" w:lineRule="auto"/>
              <w:jc w:val="center"/>
              <w:rPr>
                <w:rFonts w:ascii="宋体" w:hAnsi="宋体" w:cs="宋体"/>
                <w:szCs w:val="21"/>
                <w:highlight w:val="none"/>
              </w:rPr>
            </w:pPr>
          </w:p>
        </w:tc>
        <w:tc>
          <w:tcPr>
            <w:tcW w:w="2349" w:type="dxa"/>
            <w:tcBorders>
              <w:bottom w:val="single" w:color="auto" w:sz="12" w:space="0"/>
            </w:tcBorders>
          </w:tcPr>
          <w:p>
            <w:pPr>
              <w:shd w:val="clear"/>
              <w:spacing w:line="360" w:lineRule="auto"/>
              <w:jc w:val="center"/>
              <w:rPr>
                <w:rFonts w:ascii="宋体" w:hAnsi="宋体" w:cs="宋体"/>
                <w:szCs w:val="21"/>
                <w:highlight w:val="none"/>
              </w:rPr>
            </w:pPr>
          </w:p>
        </w:tc>
        <w:tc>
          <w:tcPr>
            <w:tcW w:w="2349" w:type="dxa"/>
            <w:tcBorders>
              <w:bottom w:val="single" w:color="auto" w:sz="12" w:space="0"/>
              <w:right w:val="single" w:color="auto" w:sz="12" w:space="0"/>
            </w:tcBorders>
          </w:tcPr>
          <w:p>
            <w:pPr>
              <w:shd w:val="clear"/>
              <w:spacing w:line="360" w:lineRule="auto"/>
              <w:jc w:val="center"/>
              <w:rPr>
                <w:rFonts w:ascii="宋体" w:hAnsi="宋体" w:cs="宋体"/>
                <w:szCs w:val="21"/>
                <w:highlight w:val="none"/>
              </w:rPr>
            </w:pPr>
          </w:p>
        </w:tc>
      </w:tr>
    </w:tbl>
    <w:p>
      <w:pPr>
        <w:shd w:val="clear"/>
        <w:spacing w:line="360" w:lineRule="auto"/>
        <w:rPr>
          <w:rFonts w:ascii="宋体" w:hAnsi="宋体" w:cs="宋体"/>
          <w:szCs w:val="21"/>
          <w:highlight w:val="none"/>
        </w:rPr>
      </w:pPr>
      <w:r>
        <w:rPr>
          <w:rFonts w:hint="eastAsia" w:ascii="宋体" w:hAnsi="宋体" w:cs="宋体"/>
          <w:szCs w:val="21"/>
          <w:highlight w:val="none"/>
        </w:rPr>
        <w:t xml:space="preserve">                                                                                                </w:t>
      </w:r>
    </w:p>
    <w:p>
      <w:pPr>
        <w:shd w:val="clear"/>
        <w:spacing w:line="360" w:lineRule="auto"/>
        <w:ind w:firstLine="315" w:firstLineChars="150"/>
        <w:rPr>
          <w:rFonts w:ascii="宋体" w:hAnsi="宋体" w:cs="宋体"/>
          <w:szCs w:val="21"/>
          <w:highlight w:val="none"/>
        </w:rPr>
      </w:pPr>
      <w:bookmarkStart w:id="142" w:name="_Toc43264525"/>
      <w:r>
        <w:rPr>
          <w:rFonts w:hint="eastAsia" w:ascii="宋体" w:hAnsi="宋体" w:cs="宋体"/>
          <w:szCs w:val="21"/>
          <w:highlight w:val="none"/>
        </w:rPr>
        <w:t>我/我们声明以上所述是正确无误的，您有权进行您认为必要的所有调查，</w:t>
      </w:r>
      <w:r>
        <w:rPr>
          <w:rFonts w:hint="eastAsia" w:ascii="宋体" w:hAnsi="宋体" w:cs="宋体"/>
          <w:szCs w:val="21"/>
          <w:highlight w:val="none"/>
          <w:lang w:val="en-GB"/>
        </w:rPr>
        <w:t>如以上数据有虚假，一经查实，自行承担相关责任。</w:t>
      </w:r>
    </w:p>
    <w:p>
      <w:pPr>
        <w:shd w:val="clear"/>
        <w:spacing w:line="500" w:lineRule="exact"/>
        <w:rPr>
          <w:rFonts w:ascii="宋体" w:hAnsi="宋体" w:cs="宋体"/>
          <w:spacing w:val="4"/>
          <w:szCs w:val="21"/>
          <w:highlight w:val="none"/>
        </w:rPr>
      </w:pPr>
    </w:p>
    <w:p>
      <w:pPr>
        <w:shd w:val="clear"/>
        <w:spacing w:line="500" w:lineRule="exact"/>
        <w:rPr>
          <w:rFonts w:ascii="宋体" w:hAnsi="宋体" w:cs="宋体"/>
          <w:szCs w:val="21"/>
          <w:highlight w:val="none"/>
          <w:u w:val="single"/>
        </w:rPr>
      </w:pPr>
      <w:r>
        <w:rPr>
          <w:rFonts w:hint="eastAsia" w:ascii="宋体" w:hAnsi="宋体" w:cs="宋体"/>
          <w:spacing w:val="4"/>
          <w:szCs w:val="21"/>
          <w:highlight w:val="none"/>
        </w:rPr>
        <w:t>投标人名称（盖公章）：</w:t>
      </w:r>
      <w:r>
        <w:rPr>
          <w:rFonts w:hint="eastAsia" w:ascii="宋体" w:hAnsi="宋体" w:cs="宋体"/>
          <w:spacing w:val="4"/>
          <w:szCs w:val="21"/>
          <w:highlight w:val="none"/>
          <w:u w:val="single"/>
        </w:rPr>
        <w:t xml:space="preserve">                             </w:t>
      </w:r>
    </w:p>
    <w:p>
      <w:pPr>
        <w:shd w:val="clear"/>
        <w:rPr>
          <w:rFonts w:ascii="宋体" w:hAnsi="宋体" w:cs="宋体"/>
          <w:spacing w:val="4"/>
          <w:szCs w:val="21"/>
          <w:highlight w:val="none"/>
        </w:rPr>
      </w:pPr>
    </w:p>
    <w:p>
      <w:pPr>
        <w:shd w:val="clear"/>
        <w:spacing w:line="520" w:lineRule="exact"/>
        <w:rPr>
          <w:rFonts w:ascii="宋体" w:hAnsi="宋体" w:cs="宋体"/>
          <w:spacing w:val="4"/>
          <w:szCs w:val="21"/>
          <w:highlight w:val="none"/>
        </w:rPr>
      </w:pPr>
      <w:r>
        <w:rPr>
          <w:rFonts w:hint="eastAsia" w:ascii="宋体" w:hAnsi="宋体" w:cs="宋体"/>
          <w:szCs w:val="21"/>
          <w:highlight w:val="none"/>
        </w:rPr>
        <w:t>法定代表人或投标人授权代表（签名或盖章）：</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职务：</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日期</w:t>
      </w:r>
      <w:r>
        <w:rPr>
          <w:rFonts w:hint="eastAsia" w:ascii="宋体" w:hAnsi="宋体" w:cs="宋体"/>
          <w:spacing w:val="4"/>
          <w:szCs w:val="21"/>
          <w:highlight w:val="none"/>
          <w:u w:val="single"/>
        </w:rPr>
        <w:t xml:space="preserve">         </w:t>
      </w:r>
    </w:p>
    <w:p>
      <w:pPr>
        <w:shd w:val="clear"/>
        <w:spacing w:line="360" w:lineRule="auto"/>
        <w:rPr>
          <w:rFonts w:ascii="宋体" w:hAnsi="宋体" w:cs="宋体"/>
          <w:b/>
          <w:bCs/>
          <w:szCs w:val="21"/>
          <w:highlight w:val="none"/>
        </w:rPr>
      </w:pPr>
    </w:p>
    <w:p>
      <w:pPr>
        <w:shd w:val="clear"/>
        <w:spacing w:line="360" w:lineRule="auto"/>
        <w:rPr>
          <w:rFonts w:ascii="宋体" w:hAnsi="宋体" w:cs="宋体"/>
          <w:b/>
          <w:bCs/>
          <w:szCs w:val="21"/>
          <w:highlight w:val="none"/>
        </w:rPr>
      </w:pPr>
    </w:p>
    <w:p>
      <w:pPr>
        <w:numPr>
          <w:ilvl w:val="0"/>
          <w:numId w:val="147"/>
        </w:numPr>
        <w:shd w:val="clear"/>
        <w:spacing w:line="440" w:lineRule="exact"/>
        <w:rPr>
          <w:rFonts w:ascii="宋体" w:hAnsi="宋体" w:cs="宋体"/>
          <w:b/>
          <w:bCs/>
          <w:szCs w:val="21"/>
          <w:highlight w:val="none"/>
        </w:rPr>
      </w:pPr>
      <w:r>
        <w:rPr>
          <w:rFonts w:hint="eastAsia" w:ascii="宋体" w:hAnsi="宋体" w:cs="宋体"/>
          <w:b/>
          <w:bCs/>
          <w:szCs w:val="21"/>
          <w:highlight w:val="none"/>
        </w:rPr>
        <w:br w:type="page"/>
      </w:r>
    </w:p>
    <w:p>
      <w:pPr>
        <w:numPr>
          <w:ilvl w:val="0"/>
          <w:numId w:val="147"/>
        </w:numPr>
        <w:shd w:val="clear"/>
        <w:spacing w:line="440" w:lineRule="exact"/>
        <w:rPr>
          <w:rFonts w:ascii="宋体" w:hAnsi="宋体" w:cs="宋体"/>
          <w:szCs w:val="21"/>
          <w:highlight w:val="none"/>
        </w:rPr>
      </w:pPr>
      <w:bookmarkStart w:id="143" w:name="_Toc50737333"/>
      <w:bookmarkStart w:id="144" w:name="_Toc50691044"/>
      <w:bookmarkStart w:id="145" w:name="_Toc50736481"/>
      <w:bookmarkStart w:id="146" w:name="_Toc50737301"/>
      <w:bookmarkStart w:id="147" w:name="_Toc52165085"/>
      <w:bookmarkStart w:id="148" w:name="_Toc275865617"/>
    </w:p>
    <w:p>
      <w:pPr>
        <w:pStyle w:val="5"/>
        <w:shd w:val="clear"/>
        <w:adjustRightInd w:val="0"/>
        <w:snapToGrid w:val="0"/>
        <w:spacing w:before="156" w:beforeLines="50" w:after="156" w:afterLines="50" w:line="360" w:lineRule="auto"/>
        <w:jc w:val="center"/>
        <w:rPr>
          <w:b w:val="0"/>
          <w:bCs w:val="0"/>
          <w:highlight w:val="none"/>
        </w:rPr>
      </w:pPr>
      <w:r>
        <w:rPr>
          <w:rFonts w:hint="eastAsia"/>
          <w:b w:val="0"/>
          <w:bCs w:val="0"/>
          <w:highlight w:val="none"/>
        </w:rPr>
        <w:t>同类项目业绩一览表</w:t>
      </w:r>
      <w:bookmarkEnd w:id="142"/>
      <w:bookmarkEnd w:id="143"/>
      <w:bookmarkEnd w:id="144"/>
      <w:bookmarkEnd w:id="145"/>
      <w:bookmarkEnd w:id="146"/>
      <w:bookmarkEnd w:id="147"/>
      <w:bookmarkEnd w:id="148"/>
    </w:p>
    <w:p>
      <w:pPr>
        <w:shd w:val="clear"/>
        <w:spacing w:after="156" w:afterLines="50"/>
        <w:jc w:val="center"/>
        <w:outlineLvl w:val="2"/>
        <w:rPr>
          <w:rFonts w:ascii="宋体" w:hAnsi="宋体" w:cs="宋体"/>
          <w:szCs w:val="21"/>
          <w:highlight w:val="none"/>
        </w:rPr>
      </w:pPr>
      <w:r>
        <w:rPr>
          <w:rFonts w:hint="eastAsia" w:ascii="宋体" w:hAnsi="宋体" w:cs="宋体"/>
          <w:szCs w:val="21"/>
          <w:highlight w:val="none"/>
        </w:rPr>
        <w:t>投标人名称：                                                     项目编号：BDGZ2023024</w:t>
      </w:r>
    </w:p>
    <w:tbl>
      <w:tblPr>
        <w:tblStyle w:val="22"/>
        <w:tblW w:w="973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260"/>
        <w:gridCol w:w="1136"/>
        <w:gridCol w:w="1155"/>
        <w:gridCol w:w="1095"/>
        <w:gridCol w:w="1275"/>
        <w:gridCol w:w="1365"/>
        <w:gridCol w:w="18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0" w:type="dxa"/>
            <w:tcBorders>
              <w:top w:val="single" w:color="auto" w:sz="12" w:space="0"/>
              <w:bottom w:val="double" w:color="auto" w:sz="4" w:space="0"/>
            </w:tcBorders>
            <w:shd w:val="clear" w:color="auto" w:fill="EEECE1"/>
            <w:vAlign w:val="center"/>
          </w:tcPr>
          <w:p>
            <w:pPr>
              <w:shd w:val="clear"/>
              <w:adjustRightInd w:val="0"/>
              <w:snapToGrid w:val="0"/>
              <w:ind w:left="-69" w:leftChars="-33" w:right="-97" w:rightChars="-46"/>
              <w:jc w:val="center"/>
              <w:rPr>
                <w:rFonts w:ascii="宋体" w:hAnsi="宋体" w:cs="宋体"/>
                <w:szCs w:val="21"/>
                <w:highlight w:val="none"/>
              </w:rPr>
            </w:pPr>
            <w:r>
              <w:rPr>
                <w:rFonts w:hint="eastAsia" w:ascii="宋体" w:hAnsi="宋体" w:cs="宋体"/>
                <w:szCs w:val="21"/>
                <w:highlight w:val="none"/>
              </w:rPr>
              <w:t>序号</w:t>
            </w:r>
          </w:p>
        </w:tc>
        <w:tc>
          <w:tcPr>
            <w:tcW w:w="1260" w:type="dxa"/>
            <w:tcBorders>
              <w:top w:val="single" w:color="auto" w:sz="12" w:space="0"/>
              <w:bottom w:val="double" w:color="auto" w:sz="4" w:space="0"/>
            </w:tcBorders>
            <w:shd w:val="clear" w:color="auto" w:fill="EEECE1"/>
            <w:vAlign w:val="center"/>
          </w:tcPr>
          <w:p>
            <w:pPr>
              <w:shd w:val="clear"/>
              <w:adjustRightInd w:val="0"/>
              <w:snapToGrid w:val="0"/>
              <w:jc w:val="center"/>
              <w:rPr>
                <w:rFonts w:ascii="宋体" w:hAnsi="宋体" w:cs="宋体"/>
                <w:szCs w:val="21"/>
                <w:highlight w:val="none"/>
              </w:rPr>
            </w:pPr>
            <w:r>
              <w:rPr>
                <w:rFonts w:hint="eastAsia" w:ascii="宋体" w:hAnsi="宋体" w:cs="宋体"/>
                <w:szCs w:val="21"/>
                <w:highlight w:val="none"/>
              </w:rPr>
              <w:t>业主名称</w:t>
            </w:r>
          </w:p>
        </w:tc>
        <w:tc>
          <w:tcPr>
            <w:tcW w:w="1136" w:type="dxa"/>
            <w:tcBorders>
              <w:top w:val="single" w:color="auto" w:sz="12" w:space="0"/>
              <w:bottom w:val="double" w:color="auto" w:sz="4" w:space="0"/>
            </w:tcBorders>
            <w:shd w:val="clear" w:color="auto" w:fill="EEECE1"/>
            <w:vAlign w:val="center"/>
          </w:tcPr>
          <w:p>
            <w:pPr>
              <w:shd w:val="clear"/>
              <w:adjustRightInd w:val="0"/>
              <w:snapToGrid w:val="0"/>
              <w:jc w:val="center"/>
              <w:rPr>
                <w:rFonts w:ascii="宋体" w:hAnsi="宋体" w:cs="宋体"/>
                <w:szCs w:val="21"/>
                <w:highlight w:val="none"/>
              </w:rPr>
            </w:pPr>
            <w:r>
              <w:rPr>
                <w:rFonts w:hint="eastAsia" w:ascii="宋体" w:hAnsi="宋体" w:cs="宋体"/>
                <w:szCs w:val="21"/>
                <w:highlight w:val="none"/>
              </w:rPr>
              <w:t>项目名称</w:t>
            </w:r>
          </w:p>
        </w:tc>
        <w:tc>
          <w:tcPr>
            <w:tcW w:w="1155" w:type="dxa"/>
            <w:tcBorders>
              <w:top w:val="single" w:color="auto" w:sz="12" w:space="0"/>
              <w:bottom w:val="double" w:color="auto" w:sz="4" w:space="0"/>
            </w:tcBorders>
            <w:shd w:val="clear" w:color="auto" w:fill="EEECE1"/>
            <w:vAlign w:val="center"/>
          </w:tcPr>
          <w:p>
            <w:pPr>
              <w:shd w:val="clear"/>
              <w:adjustRightInd w:val="0"/>
              <w:snapToGrid w:val="0"/>
              <w:jc w:val="center"/>
              <w:rPr>
                <w:rFonts w:ascii="宋体" w:hAnsi="宋体" w:cs="宋体"/>
                <w:szCs w:val="21"/>
                <w:highlight w:val="none"/>
              </w:rPr>
            </w:pPr>
            <w:r>
              <w:rPr>
                <w:rFonts w:hint="eastAsia" w:ascii="宋体" w:hAnsi="宋体" w:cs="宋体"/>
                <w:szCs w:val="21"/>
                <w:highlight w:val="none"/>
              </w:rPr>
              <w:t>服务内容</w:t>
            </w:r>
          </w:p>
        </w:tc>
        <w:tc>
          <w:tcPr>
            <w:tcW w:w="1095" w:type="dxa"/>
            <w:tcBorders>
              <w:top w:val="single" w:color="auto" w:sz="12" w:space="0"/>
              <w:bottom w:val="double" w:color="auto" w:sz="4" w:space="0"/>
            </w:tcBorders>
            <w:shd w:val="clear" w:color="auto" w:fill="EEECE1"/>
            <w:vAlign w:val="center"/>
          </w:tcPr>
          <w:p>
            <w:pPr>
              <w:shd w:val="clear"/>
              <w:adjustRightInd w:val="0"/>
              <w:snapToGrid w:val="0"/>
              <w:jc w:val="center"/>
              <w:rPr>
                <w:rFonts w:ascii="宋体" w:hAnsi="宋体" w:cs="宋体"/>
                <w:szCs w:val="21"/>
                <w:highlight w:val="none"/>
              </w:rPr>
            </w:pPr>
            <w:r>
              <w:rPr>
                <w:rFonts w:hint="eastAsia" w:ascii="宋体" w:hAnsi="宋体" w:cs="宋体"/>
                <w:szCs w:val="21"/>
                <w:highlight w:val="none"/>
              </w:rPr>
              <w:t>合同总价</w:t>
            </w:r>
          </w:p>
        </w:tc>
        <w:tc>
          <w:tcPr>
            <w:tcW w:w="1275" w:type="dxa"/>
            <w:tcBorders>
              <w:top w:val="single" w:color="auto" w:sz="12" w:space="0"/>
              <w:bottom w:val="double" w:color="auto" w:sz="4" w:space="0"/>
            </w:tcBorders>
            <w:shd w:val="clear" w:color="auto" w:fill="EEECE1"/>
            <w:vAlign w:val="center"/>
          </w:tcPr>
          <w:p>
            <w:pPr>
              <w:shd w:val="clear"/>
              <w:adjustRightInd w:val="0"/>
              <w:snapToGrid w:val="0"/>
              <w:jc w:val="center"/>
              <w:rPr>
                <w:rFonts w:ascii="宋体" w:hAnsi="宋体" w:cs="宋体"/>
                <w:szCs w:val="21"/>
                <w:highlight w:val="none"/>
              </w:rPr>
            </w:pPr>
            <w:r>
              <w:rPr>
                <w:rFonts w:hint="eastAsia" w:ascii="宋体" w:hAnsi="宋体" w:cs="宋体"/>
                <w:szCs w:val="21"/>
                <w:highlight w:val="none"/>
              </w:rPr>
              <w:t>签约及完成时间</w:t>
            </w:r>
          </w:p>
        </w:tc>
        <w:tc>
          <w:tcPr>
            <w:tcW w:w="1365" w:type="dxa"/>
            <w:tcBorders>
              <w:top w:val="single" w:color="auto" w:sz="12" w:space="0"/>
              <w:bottom w:val="double" w:color="auto" w:sz="4" w:space="0"/>
            </w:tcBorders>
            <w:shd w:val="clear" w:color="auto" w:fill="EEECE1"/>
            <w:vAlign w:val="center"/>
          </w:tcPr>
          <w:p>
            <w:pPr>
              <w:shd w:val="clear"/>
              <w:adjustRightInd w:val="0"/>
              <w:snapToGrid w:val="0"/>
              <w:jc w:val="center"/>
              <w:rPr>
                <w:rFonts w:ascii="宋体" w:hAnsi="宋体" w:cs="宋体"/>
                <w:szCs w:val="21"/>
                <w:highlight w:val="none"/>
              </w:rPr>
            </w:pPr>
            <w:r>
              <w:rPr>
                <w:rFonts w:hint="eastAsia" w:ascii="宋体" w:hAnsi="宋体" w:cs="宋体"/>
                <w:szCs w:val="21"/>
                <w:highlight w:val="none"/>
              </w:rPr>
              <w:t>单位联系人及电话</w:t>
            </w:r>
          </w:p>
        </w:tc>
        <w:tc>
          <w:tcPr>
            <w:tcW w:w="1879" w:type="dxa"/>
            <w:tcBorders>
              <w:top w:val="single" w:color="auto" w:sz="12" w:space="0"/>
              <w:bottom w:val="double" w:color="auto" w:sz="4" w:space="0"/>
            </w:tcBorders>
            <w:shd w:val="clear" w:color="auto" w:fill="EEECE1"/>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tcBorders>
              <w:top w:val="double" w:color="auto" w:sz="4" w:space="0"/>
            </w:tcBorders>
            <w:vAlign w:val="center"/>
          </w:tcPr>
          <w:p>
            <w:pPr>
              <w:shd w:val="clear"/>
              <w:spacing w:line="400" w:lineRule="exact"/>
              <w:jc w:val="center"/>
              <w:rPr>
                <w:rFonts w:ascii="宋体" w:hAnsi="宋体" w:cs="宋体"/>
                <w:szCs w:val="21"/>
                <w:highlight w:val="none"/>
              </w:rPr>
            </w:pPr>
            <w:r>
              <w:rPr>
                <w:rFonts w:hint="eastAsia" w:ascii="宋体" w:hAnsi="宋体" w:cs="宋体"/>
                <w:szCs w:val="21"/>
                <w:highlight w:val="none"/>
              </w:rPr>
              <w:t>1</w:t>
            </w:r>
          </w:p>
        </w:tc>
        <w:tc>
          <w:tcPr>
            <w:tcW w:w="1260" w:type="dxa"/>
            <w:tcBorders>
              <w:top w:val="double" w:color="auto" w:sz="4" w:space="0"/>
            </w:tcBorders>
            <w:vAlign w:val="center"/>
          </w:tcPr>
          <w:p>
            <w:pPr>
              <w:shd w:val="clear"/>
              <w:spacing w:line="400" w:lineRule="exact"/>
              <w:jc w:val="center"/>
              <w:rPr>
                <w:rFonts w:ascii="宋体" w:hAnsi="宋体" w:cs="宋体"/>
                <w:szCs w:val="21"/>
                <w:highlight w:val="none"/>
              </w:rPr>
            </w:pPr>
          </w:p>
        </w:tc>
        <w:tc>
          <w:tcPr>
            <w:tcW w:w="1136" w:type="dxa"/>
            <w:tcBorders>
              <w:top w:val="double" w:color="auto" w:sz="4" w:space="0"/>
            </w:tcBorders>
            <w:vAlign w:val="center"/>
          </w:tcPr>
          <w:p>
            <w:pPr>
              <w:shd w:val="clear"/>
              <w:spacing w:line="400" w:lineRule="exact"/>
              <w:jc w:val="center"/>
              <w:rPr>
                <w:rFonts w:ascii="宋体" w:hAnsi="宋体" w:cs="宋体"/>
                <w:szCs w:val="21"/>
                <w:highlight w:val="none"/>
              </w:rPr>
            </w:pPr>
          </w:p>
        </w:tc>
        <w:tc>
          <w:tcPr>
            <w:tcW w:w="1155" w:type="dxa"/>
            <w:tcBorders>
              <w:top w:val="double" w:color="auto" w:sz="4" w:space="0"/>
            </w:tcBorders>
            <w:vAlign w:val="center"/>
          </w:tcPr>
          <w:p>
            <w:pPr>
              <w:shd w:val="clear"/>
              <w:spacing w:line="400" w:lineRule="exact"/>
              <w:jc w:val="center"/>
              <w:rPr>
                <w:rFonts w:ascii="宋体" w:hAnsi="宋体" w:cs="宋体"/>
                <w:szCs w:val="21"/>
                <w:highlight w:val="none"/>
              </w:rPr>
            </w:pPr>
          </w:p>
        </w:tc>
        <w:tc>
          <w:tcPr>
            <w:tcW w:w="1095" w:type="dxa"/>
            <w:tcBorders>
              <w:top w:val="double" w:color="auto" w:sz="4" w:space="0"/>
            </w:tcBorders>
            <w:vAlign w:val="center"/>
          </w:tcPr>
          <w:p>
            <w:pPr>
              <w:shd w:val="clear"/>
              <w:spacing w:line="400" w:lineRule="exact"/>
              <w:jc w:val="center"/>
              <w:rPr>
                <w:rFonts w:ascii="宋体" w:hAnsi="宋体" w:cs="宋体"/>
                <w:szCs w:val="21"/>
                <w:highlight w:val="none"/>
              </w:rPr>
            </w:pPr>
          </w:p>
        </w:tc>
        <w:tc>
          <w:tcPr>
            <w:tcW w:w="1275" w:type="dxa"/>
            <w:tcBorders>
              <w:top w:val="double" w:color="auto" w:sz="4" w:space="0"/>
            </w:tcBorders>
            <w:vAlign w:val="center"/>
          </w:tcPr>
          <w:p>
            <w:pPr>
              <w:shd w:val="clear"/>
              <w:spacing w:line="400" w:lineRule="exact"/>
              <w:jc w:val="center"/>
              <w:rPr>
                <w:rFonts w:ascii="宋体" w:hAnsi="宋体" w:cs="宋体"/>
                <w:szCs w:val="21"/>
                <w:highlight w:val="none"/>
              </w:rPr>
            </w:pPr>
          </w:p>
        </w:tc>
        <w:tc>
          <w:tcPr>
            <w:tcW w:w="1365" w:type="dxa"/>
            <w:tcBorders>
              <w:top w:val="double" w:color="auto" w:sz="4" w:space="0"/>
            </w:tcBorders>
            <w:vAlign w:val="center"/>
          </w:tcPr>
          <w:p>
            <w:pPr>
              <w:shd w:val="clear"/>
              <w:spacing w:line="400" w:lineRule="exact"/>
              <w:jc w:val="center"/>
              <w:rPr>
                <w:rFonts w:ascii="宋体" w:hAnsi="宋体" w:cs="宋体"/>
                <w:szCs w:val="21"/>
                <w:highlight w:val="none"/>
              </w:rPr>
            </w:pPr>
          </w:p>
        </w:tc>
        <w:tc>
          <w:tcPr>
            <w:tcW w:w="1879" w:type="dxa"/>
            <w:tcBorders>
              <w:top w:val="double" w:color="auto" w:sz="4" w:space="0"/>
            </w:tcBorders>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见第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hd w:val="clear"/>
              <w:spacing w:line="400" w:lineRule="exact"/>
              <w:jc w:val="center"/>
              <w:rPr>
                <w:rFonts w:ascii="宋体" w:hAnsi="宋体" w:cs="宋体"/>
                <w:szCs w:val="21"/>
                <w:highlight w:val="none"/>
              </w:rPr>
            </w:pPr>
            <w:r>
              <w:rPr>
                <w:rFonts w:hint="eastAsia" w:ascii="宋体" w:hAnsi="宋体" w:cs="宋体"/>
                <w:szCs w:val="21"/>
                <w:highlight w:val="none"/>
              </w:rPr>
              <w:t>2</w:t>
            </w:r>
          </w:p>
        </w:tc>
        <w:tc>
          <w:tcPr>
            <w:tcW w:w="1260" w:type="dxa"/>
            <w:vAlign w:val="center"/>
          </w:tcPr>
          <w:p>
            <w:pPr>
              <w:shd w:val="clear"/>
              <w:spacing w:line="400" w:lineRule="exact"/>
              <w:jc w:val="center"/>
              <w:rPr>
                <w:rFonts w:ascii="宋体" w:hAnsi="宋体" w:cs="宋体"/>
                <w:szCs w:val="21"/>
                <w:highlight w:val="none"/>
              </w:rPr>
            </w:pPr>
          </w:p>
        </w:tc>
        <w:tc>
          <w:tcPr>
            <w:tcW w:w="1136" w:type="dxa"/>
            <w:vAlign w:val="center"/>
          </w:tcPr>
          <w:p>
            <w:pPr>
              <w:shd w:val="clear"/>
              <w:spacing w:line="400" w:lineRule="exact"/>
              <w:jc w:val="center"/>
              <w:rPr>
                <w:rFonts w:ascii="宋体" w:hAnsi="宋体" w:cs="宋体"/>
                <w:szCs w:val="21"/>
                <w:highlight w:val="none"/>
              </w:rPr>
            </w:pPr>
          </w:p>
        </w:tc>
        <w:tc>
          <w:tcPr>
            <w:tcW w:w="1155" w:type="dxa"/>
            <w:vAlign w:val="center"/>
          </w:tcPr>
          <w:p>
            <w:pPr>
              <w:shd w:val="clear"/>
              <w:spacing w:line="400" w:lineRule="exact"/>
              <w:jc w:val="center"/>
              <w:rPr>
                <w:rFonts w:ascii="宋体" w:hAnsi="宋体" w:cs="宋体"/>
                <w:szCs w:val="21"/>
                <w:highlight w:val="none"/>
              </w:rPr>
            </w:pPr>
          </w:p>
        </w:tc>
        <w:tc>
          <w:tcPr>
            <w:tcW w:w="1095" w:type="dxa"/>
            <w:vAlign w:val="center"/>
          </w:tcPr>
          <w:p>
            <w:pPr>
              <w:shd w:val="clear"/>
              <w:spacing w:line="400" w:lineRule="exact"/>
              <w:jc w:val="center"/>
              <w:rPr>
                <w:rFonts w:ascii="宋体" w:hAnsi="宋体" w:cs="宋体"/>
                <w:szCs w:val="21"/>
                <w:highlight w:val="none"/>
              </w:rPr>
            </w:pPr>
          </w:p>
        </w:tc>
        <w:tc>
          <w:tcPr>
            <w:tcW w:w="1275" w:type="dxa"/>
            <w:vAlign w:val="center"/>
          </w:tcPr>
          <w:p>
            <w:pPr>
              <w:shd w:val="clear"/>
              <w:spacing w:line="400" w:lineRule="exact"/>
              <w:jc w:val="center"/>
              <w:rPr>
                <w:rFonts w:ascii="宋体" w:hAnsi="宋体" w:cs="宋体"/>
                <w:szCs w:val="21"/>
                <w:highlight w:val="none"/>
              </w:rPr>
            </w:pPr>
          </w:p>
        </w:tc>
        <w:tc>
          <w:tcPr>
            <w:tcW w:w="1365" w:type="dxa"/>
            <w:vAlign w:val="center"/>
          </w:tcPr>
          <w:p>
            <w:pPr>
              <w:shd w:val="clear"/>
              <w:spacing w:line="400" w:lineRule="exact"/>
              <w:jc w:val="center"/>
              <w:rPr>
                <w:rFonts w:ascii="宋体" w:hAnsi="宋体" w:cs="宋体"/>
                <w:szCs w:val="21"/>
                <w:highlight w:val="none"/>
              </w:rPr>
            </w:pPr>
          </w:p>
        </w:tc>
        <w:tc>
          <w:tcPr>
            <w:tcW w:w="1879" w:type="dxa"/>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见第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hd w:val="clear"/>
              <w:spacing w:line="400" w:lineRule="exact"/>
              <w:jc w:val="center"/>
              <w:rPr>
                <w:rFonts w:ascii="宋体" w:hAnsi="宋体" w:cs="宋体"/>
                <w:szCs w:val="21"/>
                <w:highlight w:val="none"/>
              </w:rPr>
            </w:pPr>
            <w:r>
              <w:rPr>
                <w:rFonts w:hint="eastAsia" w:ascii="宋体" w:hAnsi="宋体" w:cs="宋体"/>
                <w:szCs w:val="21"/>
                <w:highlight w:val="none"/>
              </w:rPr>
              <w:t>3</w:t>
            </w:r>
          </w:p>
        </w:tc>
        <w:tc>
          <w:tcPr>
            <w:tcW w:w="1260" w:type="dxa"/>
            <w:vAlign w:val="center"/>
          </w:tcPr>
          <w:p>
            <w:pPr>
              <w:shd w:val="clear"/>
              <w:spacing w:line="400" w:lineRule="exact"/>
              <w:jc w:val="center"/>
              <w:rPr>
                <w:rFonts w:ascii="宋体" w:hAnsi="宋体" w:cs="宋体"/>
                <w:szCs w:val="21"/>
                <w:highlight w:val="none"/>
              </w:rPr>
            </w:pPr>
          </w:p>
        </w:tc>
        <w:tc>
          <w:tcPr>
            <w:tcW w:w="1136" w:type="dxa"/>
            <w:vAlign w:val="center"/>
          </w:tcPr>
          <w:p>
            <w:pPr>
              <w:shd w:val="clear"/>
              <w:spacing w:line="400" w:lineRule="exact"/>
              <w:jc w:val="center"/>
              <w:rPr>
                <w:rFonts w:ascii="宋体" w:hAnsi="宋体" w:cs="宋体"/>
                <w:szCs w:val="21"/>
                <w:highlight w:val="none"/>
              </w:rPr>
            </w:pPr>
          </w:p>
        </w:tc>
        <w:tc>
          <w:tcPr>
            <w:tcW w:w="1155" w:type="dxa"/>
            <w:vAlign w:val="center"/>
          </w:tcPr>
          <w:p>
            <w:pPr>
              <w:shd w:val="clear"/>
              <w:spacing w:line="400" w:lineRule="exact"/>
              <w:jc w:val="center"/>
              <w:rPr>
                <w:rFonts w:ascii="宋体" w:hAnsi="宋体" w:cs="宋体"/>
                <w:szCs w:val="21"/>
                <w:highlight w:val="none"/>
              </w:rPr>
            </w:pPr>
          </w:p>
        </w:tc>
        <w:tc>
          <w:tcPr>
            <w:tcW w:w="1095" w:type="dxa"/>
            <w:vAlign w:val="center"/>
          </w:tcPr>
          <w:p>
            <w:pPr>
              <w:shd w:val="clear"/>
              <w:spacing w:line="400" w:lineRule="exact"/>
              <w:jc w:val="center"/>
              <w:rPr>
                <w:rFonts w:ascii="宋体" w:hAnsi="宋体" w:cs="宋体"/>
                <w:szCs w:val="21"/>
                <w:highlight w:val="none"/>
              </w:rPr>
            </w:pPr>
          </w:p>
        </w:tc>
        <w:tc>
          <w:tcPr>
            <w:tcW w:w="1275" w:type="dxa"/>
            <w:vAlign w:val="center"/>
          </w:tcPr>
          <w:p>
            <w:pPr>
              <w:shd w:val="clear"/>
              <w:spacing w:line="400" w:lineRule="exact"/>
              <w:jc w:val="center"/>
              <w:rPr>
                <w:rFonts w:ascii="宋体" w:hAnsi="宋体" w:cs="宋体"/>
                <w:szCs w:val="21"/>
                <w:highlight w:val="none"/>
              </w:rPr>
            </w:pPr>
          </w:p>
        </w:tc>
        <w:tc>
          <w:tcPr>
            <w:tcW w:w="1365" w:type="dxa"/>
            <w:vAlign w:val="center"/>
          </w:tcPr>
          <w:p>
            <w:pPr>
              <w:shd w:val="clear"/>
              <w:spacing w:line="400" w:lineRule="exact"/>
              <w:jc w:val="center"/>
              <w:rPr>
                <w:rFonts w:ascii="宋体" w:hAnsi="宋体" w:cs="宋体"/>
                <w:szCs w:val="21"/>
                <w:highlight w:val="none"/>
              </w:rPr>
            </w:pPr>
          </w:p>
        </w:tc>
        <w:tc>
          <w:tcPr>
            <w:tcW w:w="1879" w:type="dxa"/>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见第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hd w:val="clear"/>
              <w:spacing w:line="400" w:lineRule="exact"/>
              <w:jc w:val="center"/>
              <w:rPr>
                <w:rFonts w:ascii="宋体" w:hAnsi="宋体" w:cs="宋体"/>
                <w:szCs w:val="21"/>
                <w:highlight w:val="none"/>
              </w:rPr>
            </w:pPr>
            <w:r>
              <w:rPr>
                <w:rFonts w:hint="eastAsia" w:ascii="宋体" w:hAnsi="宋体" w:cs="宋体"/>
                <w:szCs w:val="21"/>
                <w:highlight w:val="none"/>
              </w:rPr>
              <w:t>4</w:t>
            </w:r>
          </w:p>
        </w:tc>
        <w:tc>
          <w:tcPr>
            <w:tcW w:w="1260" w:type="dxa"/>
            <w:vAlign w:val="center"/>
          </w:tcPr>
          <w:p>
            <w:pPr>
              <w:shd w:val="clear"/>
              <w:spacing w:line="400" w:lineRule="exact"/>
              <w:jc w:val="center"/>
              <w:rPr>
                <w:rFonts w:ascii="宋体" w:hAnsi="宋体" w:cs="宋体"/>
                <w:szCs w:val="21"/>
                <w:highlight w:val="none"/>
              </w:rPr>
            </w:pPr>
          </w:p>
        </w:tc>
        <w:tc>
          <w:tcPr>
            <w:tcW w:w="1136" w:type="dxa"/>
            <w:vAlign w:val="center"/>
          </w:tcPr>
          <w:p>
            <w:pPr>
              <w:shd w:val="clear"/>
              <w:spacing w:line="400" w:lineRule="exact"/>
              <w:jc w:val="center"/>
              <w:rPr>
                <w:rFonts w:ascii="宋体" w:hAnsi="宋体" w:cs="宋体"/>
                <w:szCs w:val="21"/>
                <w:highlight w:val="none"/>
              </w:rPr>
            </w:pPr>
          </w:p>
        </w:tc>
        <w:tc>
          <w:tcPr>
            <w:tcW w:w="1155" w:type="dxa"/>
            <w:vAlign w:val="center"/>
          </w:tcPr>
          <w:p>
            <w:pPr>
              <w:shd w:val="clear"/>
              <w:spacing w:line="400" w:lineRule="exact"/>
              <w:jc w:val="center"/>
              <w:rPr>
                <w:rFonts w:ascii="宋体" w:hAnsi="宋体" w:cs="宋体"/>
                <w:szCs w:val="21"/>
                <w:highlight w:val="none"/>
              </w:rPr>
            </w:pPr>
          </w:p>
        </w:tc>
        <w:tc>
          <w:tcPr>
            <w:tcW w:w="1095" w:type="dxa"/>
            <w:vAlign w:val="center"/>
          </w:tcPr>
          <w:p>
            <w:pPr>
              <w:shd w:val="clear"/>
              <w:spacing w:line="400" w:lineRule="exact"/>
              <w:jc w:val="center"/>
              <w:rPr>
                <w:rFonts w:ascii="宋体" w:hAnsi="宋体" w:cs="宋体"/>
                <w:szCs w:val="21"/>
                <w:highlight w:val="none"/>
              </w:rPr>
            </w:pPr>
          </w:p>
        </w:tc>
        <w:tc>
          <w:tcPr>
            <w:tcW w:w="1275" w:type="dxa"/>
            <w:vAlign w:val="center"/>
          </w:tcPr>
          <w:p>
            <w:pPr>
              <w:shd w:val="clear"/>
              <w:spacing w:line="400" w:lineRule="exact"/>
              <w:jc w:val="center"/>
              <w:rPr>
                <w:rFonts w:ascii="宋体" w:hAnsi="宋体" w:cs="宋体"/>
                <w:szCs w:val="21"/>
                <w:highlight w:val="none"/>
              </w:rPr>
            </w:pPr>
          </w:p>
        </w:tc>
        <w:tc>
          <w:tcPr>
            <w:tcW w:w="1365" w:type="dxa"/>
            <w:vAlign w:val="center"/>
          </w:tcPr>
          <w:p>
            <w:pPr>
              <w:shd w:val="clear"/>
              <w:spacing w:line="400" w:lineRule="exact"/>
              <w:jc w:val="center"/>
              <w:rPr>
                <w:rFonts w:ascii="宋体" w:hAnsi="宋体" w:cs="宋体"/>
                <w:szCs w:val="21"/>
                <w:highlight w:val="none"/>
              </w:rPr>
            </w:pPr>
          </w:p>
        </w:tc>
        <w:tc>
          <w:tcPr>
            <w:tcW w:w="1879" w:type="dxa"/>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见第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hd w:val="clear"/>
              <w:spacing w:line="400" w:lineRule="exact"/>
              <w:jc w:val="center"/>
              <w:rPr>
                <w:rFonts w:ascii="宋体" w:hAnsi="宋体" w:cs="宋体"/>
                <w:szCs w:val="21"/>
                <w:highlight w:val="none"/>
              </w:rPr>
            </w:pPr>
            <w:r>
              <w:rPr>
                <w:rFonts w:hint="eastAsia" w:ascii="宋体" w:hAnsi="宋体" w:cs="宋体"/>
                <w:szCs w:val="21"/>
                <w:highlight w:val="none"/>
              </w:rPr>
              <w:t>5</w:t>
            </w:r>
          </w:p>
        </w:tc>
        <w:tc>
          <w:tcPr>
            <w:tcW w:w="1260" w:type="dxa"/>
            <w:vAlign w:val="center"/>
          </w:tcPr>
          <w:p>
            <w:pPr>
              <w:shd w:val="clear"/>
              <w:spacing w:line="400" w:lineRule="exact"/>
              <w:jc w:val="center"/>
              <w:rPr>
                <w:rFonts w:ascii="宋体" w:hAnsi="宋体" w:cs="宋体"/>
                <w:szCs w:val="21"/>
                <w:highlight w:val="none"/>
              </w:rPr>
            </w:pPr>
          </w:p>
        </w:tc>
        <w:tc>
          <w:tcPr>
            <w:tcW w:w="1136" w:type="dxa"/>
            <w:vAlign w:val="center"/>
          </w:tcPr>
          <w:p>
            <w:pPr>
              <w:shd w:val="clear"/>
              <w:spacing w:line="400" w:lineRule="exact"/>
              <w:jc w:val="center"/>
              <w:rPr>
                <w:rFonts w:ascii="宋体" w:hAnsi="宋体" w:cs="宋体"/>
                <w:szCs w:val="21"/>
                <w:highlight w:val="none"/>
              </w:rPr>
            </w:pPr>
          </w:p>
        </w:tc>
        <w:tc>
          <w:tcPr>
            <w:tcW w:w="1155" w:type="dxa"/>
            <w:vAlign w:val="center"/>
          </w:tcPr>
          <w:p>
            <w:pPr>
              <w:shd w:val="clear"/>
              <w:spacing w:line="400" w:lineRule="exact"/>
              <w:jc w:val="center"/>
              <w:rPr>
                <w:rFonts w:ascii="宋体" w:hAnsi="宋体" w:cs="宋体"/>
                <w:szCs w:val="21"/>
                <w:highlight w:val="none"/>
              </w:rPr>
            </w:pPr>
          </w:p>
        </w:tc>
        <w:tc>
          <w:tcPr>
            <w:tcW w:w="1095" w:type="dxa"/>
            <w:vAlign w:val="center"/>
          </w:tcPr>
          <w:p>
            <w:pPr>
              <w:shd w:val="clear"/>
              <w:spacing w:line="400" w:lineRule="exact"/>
              <w:jc w:val="center"/>
              <w:rPr>
                <w:rFonts w:ascii="宋体" w:hAnsi="宋体" w:cs="宋体"/>
                <w:szCs w:val="21"/>
                <w:highlight w:val="none"/>
              </w:rPr>
            </w:pPr>
          </w:p>
        </w:tc>
        <w:tc>
          <w:tcPr>
            <w:tcW w:w="1275" w:type="dxa"/>
            <w:vAlign w:val="center"/>
          </w:tcPr>
          <w:p>
            <w:pPr>
              <w:shd w:val="clear"/>
              <w:spacing w:line="400" w:lineRule="exact"/>
              <w:jc w:val="center"/>
              <w:rPr>
                <w:rFonts w:ascii="宋体" w:hAnsi="宋体" w:cs="宋体"/>
                <w:szCs w:val="21"/>
                <w:highlight w:val="none"/>
              </w:rPr>
            </w:pPr>
          </w:p>
        </w:tc>
        <w:tc>
          <w:tcPr>
            <w:tcW w:w="1365" w:type="dxa"/>
            <w:vAlign w:val="center"/>
          </w:tcPr>
          <w:p>
            <w:pPr>
              <w:shd w:val="clear"/>
              <w:spacing w:line="400" w:lineRule="exact"/>
              <w:jc w:val="center"/>
              <w:rPr>
                <w:rFonts w:ascii="宋体" w:hAnsi="宋体" w:cs="宋体"/>
                <w:szCs w:val="21"/>
                <w:highlight w:val="none"/>
              </w:rPr>
            </w:pPr>
          </w:p>
        </w:tc>
        <w:tc>
          <w:tcPr>
            <w:tcW w:w="1879" w:type="dxa"/>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见第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hd w:val="clear"/>
              <w:spacing w:line="400" w:lineRule="exact"/>
              <w:jc w:val="center"/>
              <w:rPr>
                <w:rFonts w:ascii="宋体" w:hAnsi="宋体" w:cs="宋体"/>
                <w:szCs w:val="21"/>
                <w:highlight w:val="none"/>
              </w:rPr>
            </w:pPr>
            <w:r>
              <w:rPr>
                <w:rFonts w:hint="eastAsia" w:ascii="宋体" w:hAnsi="宋体" w:cs="宋体"/>
                <w:szCs w:val="21"/>
                <w:highlight w:val="none"/>
              </w:rPr>
              <w:t>6</w:t>
            </w:r>
          </w:p>
        </w:tc>
        <w:tc>
          <w:tcPr>
            <w:tcW w:w="1260" w:type="dxa"/>
            <w:vAlign w:val="center"/>
          </w:tcPr>
          <w:p>
            <w:pPr>
              <w:shd w:val="clear"/>
              <w:spacing w:line="400" w:lineRule="exact"/>
              <w:jc w:val="center"/>
              <w:rPr>
                <w:rFonts w:ascii="宋体" w:hAnsi="宋体" w:cs="宋体"/>
                <w:szCs w:val="21"/>
                <w:highlight w:val="none"/>
              </w:rPr>
            </w:pPr>
          </w:p>
        </w:tc>
        <w:tc>
          <w:tcPr>
            <w:tcW w:w="1136" w:type="dxa"/>
            <w:vAlign w:val="center"/>
          </w:tcPr>
          <w:p>
            <w:pPr>
              <w:shd w:val="clear"/>
              <w:spacing w:line="400" w:lineRule="exact"/>
              <w:jc w:val="center"/>
              <w:rPr>
                <w:rFonts w:ascii="宋体" w:hAnsi="宋体" w:cs="宋体"/>
                <w:szCs w:val="21"/>
                <w:highlight w:val="none"/>
              </w:rPr>
            </w:pPr>
          </w:p>
        </w:tc>
        <w:tc>
          <w:tcPr>
            <w:tcW w:w="1155" w:type="dxa"/>
            <w:vAlign w:val="center"/>
          </w:tcPr>
          <w:p>
            <w:pPr>
              <w:shd w:val="clear"/>
              <w:spacing w:line="400" w:lineRule="exact"/>
              <w:jc w:val="center"/>
              <w:rPr>
                <w:rFonts w:ascii="宋体" w:hAnsi="宋体" w:cs="宋体"/>
                <w:szCs w:val="21"/>
                <w:highlight w:val="none"/>
              </w:rPr>
            </w:pPr>
          </w:p>
        </w:tc>
        <w:tc>
          <w:tcPr>
            <w:tcW w:w="1095" w:type="dxa"/>
            <w:vAlign w:val="center"/>
          </w:tcPr>
          <w:p>
            <w:pPr>
              <w:shd w:val="clear"/>
              <w:spacing w:line="400" w:lineRule="exact"/>
              <w:jc w:val="center"/>
              <w:rPr>
                <w:rFonts w:ascii="宋体" w:hAnsi="宋体" w:cs="宋体"/>
                <w:szCs w:val="21"/>
                <w:highlight w:val="none"/>
              </w:rPr>
            </w:pPr>
          </w:p>
        </w:tc>
        <w:tc>
          <w:tcPr>
            <w:tcW w:w="1275" w:type="dxa"/>
            <w:vAlign w:val="center"/>
          </w:tcPr>
          <w:p>
            <w:pPr>
              <w:shd w:val="clear"/>
              <w:spacing w:line="400" w:lineRule="exact"/>
              <w:jc w:val="center"/>
              <w:rPr>
                <w:rFonts w:ascii="宋体" w:hAnsi="宋体" w:cs="宋体"/>
                <w:szCs w:val="21"/>
                <w:highlight w:val="none"/>
              </w:rPr>
            </w:pPr>
          </w:p>
        </w:tc>
        <w:tc>
          <w:tcPr>
            <w:tcW w:w="1365" w:type="dxa"/>
            <w:vAlign w:val="center"/>
          </w:tcPr>
          <w:p>
            <w:pPr>
              <w:shd w:val="clear"/>
              <w:spacing w:line="400" w:lineRule="exact"/>
              <w:jc w:val="center"/>
              <w:rPr>
                <w:rFonts w:ascii="宋体" w:hAnsi="宋体" w:cs="宋体"/>
                <w:szCs w:val="21"/>
                <w:highlight w:val="none"/>
              </w:rPr>
            </w:pPr>
          </w:p>
        </w:tc>
        <w:tc>
          <w:tcPr>
            <w:tcW w:w="1879" w:type="dxa"/>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见第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hd w:val="clear"/>
              <w:spacing w:line="400" w:lineRule="exact"/>
              <w:jc w:val="center"/>
              <w:rPr>
                <w:rFonts w:ascii="宋体" w:hAnsi="宋体" w:cs="宋体"/>
                <w:szCs w:val="21"/>
                <w:highlight w:val="none"/>
              </w:rPr>
            </w:pPr>
            <w:r>
              <w:rPr>
                <w:rFonts w:hint="eastAsia" w:ascii="宋体" w:hAnsi="宋体" w:cs="宋体"/>
                <w:szCs w:val="21"/>
                <w:highlight w:val="none"/>
              </w:rPr>
              <w:t>7</w:t>
            </w:r>
          </w:p>
        </w:tc>
        <w:tc>
          <w:tcPr>
            <w:tcW w:w="1260" w:type="dxa"/>
            <w:vAlign w:val="center"/>
          </w:tcPr>
          <w:p>
            <w:pPr>
              <w:shd w:val="clear"/>
              <w:spacing w:line="400" w:lineRule="exact"/>
              <w:jc w:val="center"/>
              <w:rPr>
                <w:rFonts w:ascii="宋体" w:hAnsi="宋体" w:cs="宋体"/>
                <w:szCs w:val="21"/>
                <w:highlight w:val="none"/>
              </w:rPr>
            </w:pPr>
          </w:p>
        </w:tc>
        <w:tc>
          <w:tcPr>
            <w:tcW w:w="1136" w:type="dxa"/>
            <w:vAlign w:val="center"/>
          </w:tcPr>
          <w:p>
            <w:pPr>
              <w:shd w:val="clear"/>
              <w:spacing w:line="400" w:lineRule="exact"/>
              <w:jc w:val="center"/>
              <w:rPr>
                <w:rFonts w:ascii="宋体" w:hAnsi="宋体" w:cs="宋体"/>
                <w:szCs w:val="21"/>
                <w:highlight w:val="none"/>
              </w:rPr>
            </w:pPr>
          </w:p>
        </w:tc>
        <w:tc>
          <w:tcPr>
            <w:tcW w:w="1155" w:type="dxa"/>
            <w:vAlign w:val="center"/>
          </w:tcPr>
          <w:p>
            <w:pPr>
              <w:shd w:val="clear"/>
              <w:spacing w:line="400" w:lineRule="exact"/>
              <w:jc w:val="center"/>
              <w:rPr>
                <w:rFonts w:ascii="宋体" w:hAnsi="宋体" w:cs="宋体"/>
                <w:szCs w:val="21"/>
                <w:highlight w:val="none"/>
              </w:rPr>
            </w:pPr>
          </w:p>
        </w:tc>
        <w:tc>
          <w:tcPr>
            <w:tcW w:w="1095" w:type="dxa"/>
            <w:vAlign w:val="center"/>
          </w:tcPr>
          <w:p>
            <w:pPr>
              <w:shd w:val="clear"/>
              <w:spacing w:line="400" w:lineRule="exact"/>
              <w:jc w:val="center"/>
              <w:rPr>
                <w:rFonts w:ascii="宋体" w:hAnsi="宋体" w:cs="宋体"/>
                <w:szCs w:val="21"/>
                <w:highlight w:val="none"/>
              </w:rPr>
            </w:pPr>
          </w:p>
        </w:tc>
        <w:tc>
          <w:tcPr>
            <w:tcW w:w="1275" w:type="dxa"/>
            <w:vAlign w:val="center"/>
          </w:tcPr>
          <w:p>
            <w:pPr>
              <w:shd w:val="clear"/>
              <w:spacing w:line="400" w:lineRule="exact"/>
              <w:jc w:val="center"/>
              <w:rPr>
                <w:rFonts w:ascii="宋体" w:hAnsi="宋体" w:cs="宋体"/>
                <w:szCs w:val="21"/>
                <w:highlight w:val="none"/>
              </w:rPr>
            </w:pPr>
          </w:p>
        </w:tc>
        <w:tc>
          <w:tcPr>
            <w:tcW w:w="1365" w:type="dxa"/>
            <w:vAlign w:val="center"/>
          </w:tcPr>
          <w:p>
            <w:pPr>
              <w:shd w:val="clear"/>
              <w:spacing w:line="400" w:lineRule="exact"/>
              <w:jc w:val="center"/>
              <w:rPr>
                <w:rFonts w:ascii="宋体" w:hAnsi="宋体" w:cs="宋体"/>
                <w:szCs w:val="21"/>
                <w:highlight w:val="none"/>
              </w:rPr>
            </w:pPr>
          </w:p>
        </w:tc>
        <w:tc>
          <w:tcPr>
            <w:tcW w:w="1879" w:type="dxa"/>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见第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hd w:val="clear"/>
              <w:spacing w:line="400" w:lineRule="exact"/>
              <w:jc w:val="center"/>
              <w:rPr>
                <w:rFonts w:ascii="宋体" w:hAnsi="宋体" w:cs="宋体"/>
                <w:szCs w:val="21"/>
                <w:highlight w:val="none"/>
              </w:rPr>
            </w:pPr>
            <w:r>
              <w:rPr>
                <w:rFonts w:hint="eastAsia" w:ascii="宋体" w:hAnsi="宋体" w:cs="宋体"/>
                <w:szCs w:val="21"/>
                <w:highlight w:val="none"/>
              </w:rPr>
              <w:t>8</w:t>
            </w:r>
          </w:p>
        </w:tc>
        <w:tc>
          <w:tcPr>
            <w:tcW w:w="1260" w:type="dxa"/>
            <w:vAlign w:val="center"/>
          </w:tcPr>
          <w:p>
            <w:pPr>
              <w:shd w:val="clear"/>
              <w:spacing w:line="400" w:lineRule="exact"/>
              <w:jc w:val="center"/>
              <w:rPr>
                <w:rFonts w:ascii="宋体" w:hAnsi="宋体" w:cs="宋体"/>
                <w:szCs w:val="21"/>
                <w:highlight w:val="none"/>
              </w:rPr>
            </w:pPr>
          </w:p>
        </w:tc>
        <w:tc>
          <w:tcPr>
            <w:tcW w:w="1136" w:type="dxa"/>
            <w:vAlign w:val="center"/>
          </w:tcPr>
          <w:p>
            <w:pPr>
              <w:shd w:val="clear"/>
              <w:spacing w:line="400" w:lineRule="exact"/>
              <w:jc w:val="center"/>
              <w:rPr>
                <w:rFonts w:ascii="宋体" w:hAnsi="宋体" w:cs="宋体"/>
                <w:szCs w:val="21"/>
                <w:highlight w:val="none"/>
              </w:rPr>
            </w:pPr>
          </w:p>
        </w:tc>
        <w:tc>
          <w:tcPr>
            <w:tcW w:w="1155" w:type="dxa"/>
            <w:vAlign w:val="center"/>
          </w:tcPr>
          <w:p>
            <w:pPr>
              <w:shd w:val="clear"/>
              <w:spacing w:line="400" w:lineRule="exact"/>
              <w:jc w:val="center"/>
              <w:rPr>
                <w:rFonts w:ascii="宋体" w:hAnsi="宋体" w:cs="宋体"/>
                <w:szCs w:val="21"/>
                <w:highlight w:val="none"/>
              </w:rPr>
            </w:pPr>
          </w:p>
        </w:tc>
        <w:tc>
          <w:tcPr>
            <w:tcW w:w="1095" w:type="dxa"/>
            <w:vAlign w:val="center"/>
          </w:tcPr>
          <w:p>
            <w:pPr>
              <w:shd w:val="clear"/>
              <w:spacing w:line="400" w:lineRule="exact"/>
              <w:jc w:val="center"/>
              <w:rPr>
                <w:rFonts w:ascii="宋体" w:hAnsi="宋体" w:cs="宋体"/>
                <w:szCs w:val="21"/>
                <w:highlight w:val="none"/>
              </w:rPr>
            </w:pPr>
          </w:p>
        </w:tc>
        <w:tc>
          <w:tcPr>
            <w:tcW w:w="1275" w:type="dxa"/>
            <w:vAlign w:val="center"/>
          </w:tcPr>
          <w:p>
            <w:pPr>
              <w:shd w:val="clear"/>
              <w:spacing w:line="400" w:lineRule="exact"/>
              <w:jc w:val="center"/>
              <w:rPr>
                <w:rFonts w:ascii="宋体" w:hAnsi="宋体" w:cs="宋体"/>
                <w:szCs w:val="21"/>
                <w:highlight w:val="none"/>
              </w:rPr>
            </w:pPr>
          </w:p>
        </w:tc>
        <w:tc>
          <w:tcPr>
            <w:tcW w:w="1365" w:type="dxa"/>
            <w:vAlign w:val="center"/>
          </w:tcPr>
          <w:p>
            <w:pPr>
              <w:shd w:val="clear"/>
              <w:spacing w:line="400" w:lineRule="exact"/>
              <w:jc w:val="center"/>
              <w:rPr>
                <w:rFonts w:ascii="宋体" w:hAnsi="宋体" w:cs="宋体"/>
                <w:szCs w:val="21"/>
                <w:highlight w:val="none"/>
              </w:rPr>
            </w:pPr>
          </w:p>
        </w:tc>
        <w:tc>
          <w:tcPr>
            <w:tcW w:w="1879" w:type="dxa"/>
            <w:vAlign w:val="center"/>
          </w:tcPr>
          <w:p>
            <w:pPr>
              <w:shd w:val="clear"/>
              <w:adjustRightInd w:val="0"/>
              <w:snapToGrid w:val="0"/>
              <w:ind w:left="-84" w:leftChars="-40" w:right="-107" w:rightChars="-51"/>
              <w:jc w:val="center"/>
              <w:rPr>
                <w:rFonts w:ascii="宋体" w:hAnsi="宋体" w:cs="宋体"/>
                <w:szCs w:val="21"/>
                <w:highlight w:val="none"/>
              </w:rPr>
            </w:pPr>
            <w:r>
              <w:rPr>
                <w:rFonts w:hint="eastAsia" w:ascii="宋体" w:hAnsi="宋体" w:cs="宋体"/>
                <w:szCs w:val="21"/>
                <w:highlight w:val="none"/>
              </w:rPr>
              <w:t>见第</w:t>
            </w:r>
            <w:r>
              <w:rPr>
                <w:rFonts w:hint="eastAsia" w:ascii="宋体" w:hAnsi="宋体" w:cs="宋体"/>
                <w:szCs w:val="21"/>
                <w:highlight w:val="none"/>
                <w:u w:val="single"/>
              </w:rPr>
              <w:t xml:space="preserve">   </w:t>
            </w:r>
            <w:r>
              <w:rPr>
                <w:rFonts w:hint="eastAsia" w:ascii="宋体" w:hAnsi="宋体" w:cs="宋体"/>
                <w:szCs w:val="21"/>
                <w:highlight w:val="none"/>
              </w:rPr>
              <w:t>页</w:t>
            </w:r>
          </w:p>
        </w:tc>
      </w:tr>
    </w:tbl>
    <w:p>
      <w:pPr>
        <w:shd w:val="clear"/>
        <w:adjustRightInd w:val="0"/>
        <w:snapToGrid w:val="0"/>
        <w:spacing w:line="360" w:lineRule="auto"/>
        <w:rPr>
          <w:rFonts w:ascii="宋体" w:hAnsi="宋体" w:cs="宋体"/>
          <w:bCs/>
          <w:szCs w:val="21"/>
          <w:highlight w:val="none"/>
        </w:rPr>
      </w:pPr>
      <w:r>
        <w:rPr>
          <w:rFonts w:hint="eastAsia" w:ascii="宋体" w:hAnsi="宋体" w:cs="宋体"/>
          <w:bCs/>
          <w:szCs w:val="21"/>
          <w:highlight w:val="none"/>
        </w:rPr>
        <w:t>备注：</w:t>
      </w:r>
    </w:p>
    <w:p>
      <w:pPr>
        <w:numPr>
          <w:ilvl w:val="0"/>
          <w:numId w:val="163"/>
        </w:numPr>
        <w:shd w:val="clear"/>
        <w:adjustRightInd w:val="0"/>
        <w:snapToGrid w:val="0"/>
        <w:spacing w:line="360" w:lineRule="auto"/>
        <w:rPr>
          <w:rFonts w:ascii="宋体" w:hAnsi="宋体" w:cs="宋体"/>
          <w:bCs/>
          <w:szCs w:val="21"/>
          <w:highlight w:val="none"/>
        </w:rPr>
      </w:pPr>
      <w:r>
        <w:rPr>
          <w:rFonts w:hint="eastAsia" w:ascii="宋体" w:hAnsi="宋体" w:cs="宋体"/>
          <w:szCs w:val="21"/>
          <w:highlight w:val="none"/>
        </w:rPr>
        <w:t>根据评分表的要求提交相应资料</w:t>
      </w:r>
      <w:r>
        <w:rPr>
          <w:rFonts w:hint="eastAsia" w:ascii="宋体" w:hAnsi="宋体" w:cs="宋体"/>
          <w:bCs/>
          <w:szCs w:val="21"/>
          <w:highlight w:val="none"/>
        </w:rPr>
        <w:t>。</w:t>
      </w:r>
    </w:p>
    <w:p>
      <w:pPr>
        <w:numPr>
          <w:ilvl w:val="0"/>
          <w:numId w:val="163"/>
        </w:numPr>
        <w:shd w:val="clear"/>
        <w:adjustRightInd w:val="0"/>
        <w:snapToGrid w:val="0"/>
        <w:spacing w:line="360" w:lineRule="auto"/>
        <w:rPr>
          <w:rFonts w:ascii="宋体" w:hAnsi="宋体" w:cs="宋体"/>
          <w:bCs/>
          <w:szCs w:val="21"/>
          <w:highlight w:val="none"/>
        </w:rPr>
      </w:pPr>
      <w:r>
        <w:rPr>
          <w:rFonts w:hint="eastAsia" w:ascii="宋体" w:hAnsi="宋体" w:cs="宋体"/>
          <w:bCs/>
          <w:szCs w:val="21"/>
          <w:highlight w:val="none"/>
        </w:rPr>
        <w:t>如本表格式内容不能满足需要，投标人可根据本表格式自行扩展填写，但必须体现以上内容。</w:t>
      </w:r>
    </w:p>
    <w:p>
      <w:pPr>
        <w:shd w:val="clear"/>
        <w:spacing w:line="500" w:lineRule="exact"/>
        <w:rPr>
          <w:rFonts w:ascii="宋体" w:hAnsi="宋体" w:cs="宋体"/>
          <w:szCs w:val="21"/>
          <w:highlight w:val="none"/>
        </w:rPr>
      </w:pPr>
    </w:p>
    <w:p>
      <w:pPr>
        <w:shd w:val="clear"/>
        <w:spacing w:line="500" w:lineRule="exact"/>
        <w:rPr>
          <w:rFonts w:ascii="宋体" w:hAnsi="宋体" w:cs="宋体"/>
          <w:szCs w:val="21"/>
          <w:highlight w:val="none"/>
        </w:rPr>
      </w:pPr>
    </w:p>
    <w:p>
      <w:pPr>
        <w:shd w:val="clear"/>
        <w:spacing w:line="500" w:lineRule="exact"/>
        <w:rPr>
          <w:rFonts w:ascii="宋体" w:hAnsi="宋体" w:cs="宋体"/>
          <w:szCs w:val="21"/>
          <w:highlight w:val="none"/>
          <w:u w:val="single"/>
        </w:rPr>
      </w:pPr>
      <w:r>
        <w:rPr>
          <w:rFonts w:hint="eastAsia" w:ascii="宋体" w:hAnsi="宋体" w:cs="宋体"/>
          <w:spacing w:val="4"/>
          <w:szCs w:val="21"/>
          <w:highlight w:val="none"/>
        </w:rPr>
        <w:t>投标人名称（加盖公章）：</w:t>
      </w:r>
      <w:r>
        <w:rPr>
          <w:rFonts w:hint="eastAsia" w:ascii="宋体" w:hAnsi="宋体" w:cs="宋体"/>
          <w:spacing w:val="4"/>
          <w:szCs w:val="21"/>
          <w:highlight w:val="none"/>
          <w:u w:val="single"/>
        </w:rPr>
        <w:t xml:space="preserve">                             </w:t>
      </w:r>
    </w:p>
    <w:p>
      <w:pPr>
        <w:shd w:val="clear"/>
        <w:rPr>
          <w:rFonts w:ascii="宋体" w:hAnsi="宋体" w:cs="宋体"/>
          <w:spacing w:val="4"/>
          <w:szCs w:val="21"/>
          <w:highlight w:val="none"/>
        </w:rPr>
      </w:pPr>
    </w:p>
    <w:p>
      <w:pPr>
        <w:shd w:val="clear"/>
        <w:spacing w:line="520" w:lineRule="exact"/>
        <w:rPr>
          <w:rFonts w:ascii="宋体" w:hAnsi="宋体" w:cs="宋体"/>
          <w:spacing w:val="4"/>
          <w:szCs w:val="21"/>
          <w:highlight w:val="none"/>
        </w:rPr>
      </w:pPr>
      <w:r>
        <w:rPr>
          <w:rFonts w:hint="eastAsia" w:ascii="宋体" w:hAnsi="宋体" w:cs="宋体"/>
          <w:szCs w:val="21"/>
          <w:highlight w:val="none"/>
        </w:rPr>
        <w:t>法定代表人或投标人授权代表（签名或盖章）：</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日期</w:t>
      </w:r>
      <w:r>
        <w:rPr>
          <w:rFonts w:hint="eastAsia" w:ascii="宋体" w:hAnsi="宋体" w:cs="宋体"/>
          <w:spacing w:val="4"/>
          <w:szCs w:val="21"/>
          <w:highlight w:val="none"/>
          <w:u w:val="single"/>
        </w:rPr>
        <w:t xml:space="preserve">         </w:t>
      </w:r>
    </w:p>
    <w:p>
      <w:pPr>
        <w:shd w:val="clear"/>
        <w:spacing w:line="500" w:lineRule="exact"/>
        <w:rPr>
          <w:rFonts w:ascii="宋体" w:hAnsi="宋体" w:cs="宋体"/>
          <w:szCs w:val="21"/>
          <w:highlight w:val="none"/>
        </w:rPr>
      </w:pPr>
    </w:p>
    <w:p>
      <w:pPr>
        <w:numPr>
          <w:ilvl w:val="0"/>
          <w:numId w:val="147"/>
        </w:numPr>
        <w:shd w:val="clear"/>
        <w:spacing w:line="440" w:lineRule="exact"/>
        <w:rPr>
          <w:rFonts w:ascii="宋体" w:hAnsi="宋体" w:cs="宋体"/>
          <w:spacing w:val="4"/>
          <w:szCs w:val="21"/>
          <w:highlight w:val="none"/>
        </w:rPr>
      </w:pPr>
      <w:r>
        <w:rPr>
          <w:rFonts w:hint="eastAsia" w:ascii="宋体" w:hAnsi="宋体" w:cs="宋体"/>
          <w:szCs w:val="21"/>
          <w:highlight w:val="none"/>
        </w:rPr>
        <w:br w:type="page"/>
      </w:r>
      <w:bookmarkEnd w:id="131"/>
      <w:bookmarkEnd w:id="132"/>
      <w:r>
        <w:rPr>
          <w:rFonts w:hint="eastAsia" w:ascii="宋体" w:hAnsi="宋体" w:cs="宋体"/>
          <w:bCs/>
          <w:szCs w:val="21"/>
          <w:highlight w:val="none"/>
        </w:rPr>
        <w:t xml:space="preserve"> </w:t>
      </w:r>
      <w:bookmarkStart w:id="149" w:name="_Toc259022219"/>
    </w:p>
    <w:p>
      <w:pPr>
        <w:pStyle w:val="5"/>
        <w:shd w:val="clear"/>
        <w:adjustRightInd w:val="0"/>
        <w:snapToGrid w:val="0"/>
        <w:spacing w:before="156" w:beforeLines="50" w:after="156" w:afterLines="50" w:line="360" w:lineRule="auto"/>
        <w:jc w:val="center"/>
        <w:rPr>
          <w:b w:val="0"/>
          <w:bCs w:val="0"/>
          <w:highlight w:val="none"/>
        </w:rPr>
      </w:pPr>
      <w:r>
        <w:rPr>
          <w:rFonts w:hint="eastAsia"/>
          <w:b w:val="0"/>
          <w:bCs w:val="0"/>
          <w:highlight w:val="none"/>
        </w:rPr>
        <w:t>企业信用信息管理</w:t>
      </w:r>
    </w:p>
    <w:p>
      <w:pPr>
        <w:shd w:val="clear"/>
        <w:rPr>
          <w:rFonts w:ascii="宋体" w:hAnsi="宋体" w:cs="宋体"/>
          <w:szCs w:val="21"/>
          <w:highlight w:val="none"/>
        </w:rPr>
      </w:pPr>
    </w:p>
    <w:p>
      <w:pPr>
        <w:shd w:val="clear"/>
        <w:rPr>
          <w:rFonts w:ascii="宋体" w:hAnsi="宋体" w:cs="宋体"/>
          <w:szCs w:val="21"/>
          <w:highlight w:val="none"/>
        </w:rPr>
      </w:pPr>
    </w:p>
    <w:p>
      <w:pPr>
        <w:shd w:val="clear"/>
        <w:rPr>
          <w:rFonts w:hint="eastAsia" w:ascii="宋体" w:hAnsi="宋体" w:eastAsia="宋体" w:cs="宋体"/>
          <w:highlight w:val="none"/>
        </w:rPr>
      </w:pPr>
      <w:r>
        <w:rPr>
          <w:rFonts w:hint="eastAsia" w:ascii="宋体" w:hAnsi="宋体" w:eastAsia="宋体" w:cs="宋体"/>
          <w:szCs w:val="21"/>
          <w:highlight w:val="none"/>
        </w:rPr>
        <w:t>注：提</w:t>
      </w:r>
      <w:r>
        <w:rPr>
          <w:rFonts w:hint="eastAsia" w:ascii="宋体" w:hAnsi="宋体" w:eastAsia="宋体" w:cs="宋体"/>
          <w:kern w:val="0"/>
          <w:szCs w:val="21"/>
          <w:highlight w:val="none"/>
        </w:rPr>
        <w:t>供官方网页（https://fwjy.fszj.foshan.gov.cn/foshan/home/#/）查询结果截图作为证明材料，</w:t>
      </w:r>
      <w:r>
        <w:rPr>
          <w:rFonts w:hint="eastAsia" w:ascii="宋体" w:hAnsi="宋体" w:eastAsia="宋体" w:cs="宋体"/>
          <w:szCs w:val="21"/>
          <w:highlight w:val="none"/>
        </w:rPr>
        <w:t>最终以代理机构投标截止日当天通过相关系统核查的结论为准</w:t>
      </w:r>
    </w:p>
    <w:p>
      <w:pPr>
        <w:pStyle w:val="5"/>
        <w:shd w:val="clear"/>
        <w:adjustRightInd w:val="0"/>
        <w:snapToGrid w:val="0"/>
        <w:spacing w:before="156" w:beforeLines="50" w:after="156" w:afterLines="50" w:line="360" w:lineRule="auto"/>
        <w:jc w:val="center"/>
        <w:rPr>
          <w:b w:val="0"/>
          <w:bCs w:val="0"/>
          <w:highlight w:val="none"/>
        </w:rPr>
      </w:pPr>
    </w:p>
    <w:p>
      <w:pPr>
        <w:pStyle w:val="5"/>
        <w:shd w:val="clear"/>
        <w:adjustRightInd w:val="0"/>
        <w:snapToGrid w:val="0"/>
        <w:spacing w:before="156" w:beforeLines="50" w:after="156" w:afterLines="50" w:line="360" w:lineRule="auto"/>
        <w:jc w:val="center"/>
        <w:rPr>
          <w:b w:val="0"/>
          <w:bCs w:val="0"/>
          <w:highlight w:val="none"/>
        </w:rPr>
      </w:pPr>
    </w:p>
    <w:p>
      <w:pPr>
        <w:pStyle w:val="5"/>
        <w:shd w:val="clear"/>
        <w:adjustRightInd w:val="0"/>
        <w:snapToGrid w:val="0"/>
        <w:spacing w:before="156" w:beforeLines="50" w:after="156" w:afterLines="50" w:line="360" w:lineRule="auto"/>
        <w:jc w:val="center"/>
        <w:rPr>
          <w:b w:val="0"/>
          <w:bCs w:val="0"/>
          <w:highlight w:val="none"/>
        </w:rPr>
      </w:pPr>
    </w:p>
    <w:p>
      <w:pPr>
        <w:pStyle w:val="5"/>
        <w:shd w:val="clear"/>
        <w:adjustRightInd w:val="0"/>
        <w:snapToGrid w:val="0"/>
        <w:spacing w:before="156" w:beforeLines="50" w:after="156" w:afterLines="50" w:line="360" w:lineRule="auto"/>
        <w:jc w:val="center"/>
        <w:rPr>
          <w:b w:val="0"/>
          <w:bCs w:val="0"/>
          <w:highlight w:val="none"/>
        </w:rPr>
      </w:pPr>
    </w:p>
    <w:p>
      <w:pPr>
        <w:pStyle w:val="5"/>
        <w:shd w:val="clear"/>
        <w:adjustRightInd w:val="0"/>
        <w:snapToGrid w:val="0"/>
        <w:spacing w:before="156" w:beforeLines="50" w:after="156" w:afterLines="50" w:line="360" w:lineRule="auto"/>
        <w:jc w:val="center"/>
        <w:rPr>
          <w:b w:val="0"/>
          <w:bCs w:val="0"/>
          <w:highlight w:val="none"/>
        </w:rPr>
      </w:pPr>
    </w:p>
    <w:p>
      <w:pPr>
        <w:pStyle w:val="5"/>
        <w:shd w:val="clear"/>
        <w:adjustRightInd w:val="0"/>
        <w:snapToGrid w:val="0"/>
        <w:spacing w:before="156" w:beforeLines="50" w:after="156" w:afterLines="50" w:line="360" w:lineRule="auto"/>
        <w:jc w:val="center"/>
        <w:rPr>
          <w:b w:val="0"/>
          <w:bCs w:val="0"/>
          <w:highlight w:val="none"/>
        </w:rPr>
      </w:pPr>
    </w:p>
    <w:p>
      <w:pPr>
        <w:pStyle w:val="5"/>
        <w:shd w:val="clear"/>
        <w:adjustRightInd w:val="0"/>
        <w:snapToGrid w:val="0"/>
        <w:spacing w:before="156" w:beforeLines="50" w:after="156" w:afterLines="50" w:line="360" w:lineRule="auto"/>
        <w:jc w:val="center"/>
        <w:rPr>
          <w:b w:val="0"/>
          <w:bCs w:val="0"/>
          <w:highlight w:val="none"/>
        </w:rPr>
      </w:pPr>
    </w:p>
    <w:p>
      <w:pPr>
        <w:pStyle w:val="5"/>
        <w:shd w:val="clear"/>
        <w:adjustRightInd w:val="0"/>
        <w:snapToGrid w:val="0"/>
        <w:spacing w:before="156" w:beforeLines="50" w:after="156" w:afterLines="50" w:line="360" w:lineRule="auto"/>
        <w:jc w:val="center"/>
        <w:rPr>
          <w:b w:val="0"/>
          <w:bCs w:val="0"/>
          <w:highlight w:val="none"/>
        </w:rPr>
      </w:pPr>
    </w:p>
    <w:p>
      <w:pPr>
        <w:pStyle w:val="5"/>
        <w:shd w:val="clear"/>
        <w:adjustRightInd w:val="0"/>
        <w:snapToGrid w:val="0"/>
        <w:spacing w:before="156" w:beforeLines="50" w:after="156" w:afterLines="50" w:line="360" w:lineRule="auto"/>
        <w:jc w:val="center"/>
        <w:rPr>
          <w:b w:val="0"/>
          <w:bCs w:val="0"/>
          <w:highlight w:val="none"/>
        </w:rPr>
      </w:pPr>
    </w:p>
    <w:p>
      <w:pPr>
        <w:pStyle w:val="5"/>
        <w:shd w:val="clear"/>
        <w:adjustRightInd w:val="0"/>
        <w:snapToGrid w:val="0"/>
        <w:spacing w:before="156" w:beforeLines="50" w:after="156" w:afterLines="50" w:line="360" w:lineRule="auto"/>
        <w:jc w:val="center"/>
        <w:rPr>
          <w:b w:val="0"/>
          <w:bCs w:val="0"/>
          <w:highlight w:val="none"/>
        </w:rPr>
      </w:pPr>
    </w:p>
    <w:p>
      <w:pPr>
        <w:pStyle w:val="5"/>
        <w:shd w:val="clear"/>
        <w:adjustRightInd w:val="0"/>
        <w:snapToGrid w:val="0"/>
        <w:spacing w:before="156" w:beforeLines="50" w:after="156" w:afterLines="50" w:line="360" w:lineRule="auto"/>
        <w:jc w:val="center"/>
        <w:rPr>
          <w:b w:val="0"/>
          <w:bCs w:val="0"/>
          <w:highlight w:val="none"/>
        </w:rPr>
      </w:pPr>
    </w:p>
    <w:p>
      <w:pPr>
        <w:pStyle w:val="5"/>
        <w:shd w:val="clear"/>
        <w:adjustRightInd w:val="0"/>
        <w:snapToGrid w:val="0"/>
        <w:spacing w:before="156" w:beforeLines="50" w:after="156" w:afterLines="50" w:line="360" w:lineRule="auto"/>
        <w:jc w:val="center"/>
        <w:rPr>
          <w:b w:val="0"/>
          <w:bCs w:val="0"/>
          <w:highlight w:val="none"/>
        </w:rPr>
      </w:pPr>
    </w:p>
    <w:p>
      <w:pPr>
        <w:shd w:val="clear"/>
        <w:rPr>
          <w:rFonts w:ascii="Arial" w:hAnsi="Arial" w:eastAsia="黑体"/>
          <w:sz w:val="32"/>
          <w:szCs w:val="32"/>
          <w:highlight w:val="none"/>
        </w:rPr>
      </w:pPr>
    </w:p>
    <w:p>
      <w:pPr>
        <w:pStyle w:val="42"/>
        <w:shd w:val="clear"/>
        <w:rPr>
          <w:rFonts w:ascii="Arial" w:hAnsi="Arial" w:eastAsia="黑体" w:cs="Times New Roman"/>
          <w:sz w:val="32"/>
          <w:szCs w:val="32"/>
          <w:highlight w:val="none"/>
        </w:rPr>
      </w:pPr>
    </w:p>
    <w:p>
      <w:pPr>
        <w:pStyle w:val="42"/>
        <w:shd w:val="clear"/>
        <w:rPr>
          <w:rFonts w:ascii="Arial" w:hAnsi="Arial" w:eastAsia="黑体" w:cs="Times New Roman"/>
          <w:sz w:val="32"/>
          <w:szCs w:val="32"/>
          <w:highlight w:val="none"/>
        </w:rPr>
      </w:pPr>
    </w:p>
    <w:p>
      <w:pPr>
        <w:pStyle w:val="42"/>
        <w:shd w:val="clear"/>
        <w:rPr>
          <w:rFonts w:ascii="Arial" w:hAnsi="Arial" w:eastAsia="黑体" w:cs="Times New Roman"/>
          <w:sz w:val="32"/>
          <w:szCs w:val="32"/>
          <w:highlight w:val="none"/>
        </w:rPr>
      </w:pPr>
    </w:p>
    <w:p>
      <w:pPr>
        <w:numPr>
          <w:ilvl w:val="0"/>
          <w:numId w:val="147"/>
        </w:numPr>
        <w:shd w:val="clear"/>
        <w:spacing w:line="440" w:lineRule="exact"/>
        <w:rPr>
          <w:rFonts w:ascii="Arial" w:hAnsi="Arial" w:eastAsia="黑体"/>
          <w:sz w:val="32"/>
          <w:szCs w:val="32"/>
          <w:highlight w:val="none"/>
        </w:rPr>
      </w:pPr>
    </w:p>
    <w:p>
      <w:pPr>
        <w:pStyle w:val="5"/>
        <w:shd w:val="clear"/>
        <w:adjustRightInd w:val="0"/>
        <w:snapToGrid w:val="0"/>
        <w:spacing w:before="156" w:beforeLines="50" w:after="156" w:afterLines="50" w:line="360" w:lineRule="auto"/>
        <w:jc w:val="center"/>
        <w:rPr>
          <w:b w:val="0"/>
          <w:bCs w:val="0"/>
          <w:highlight w:val="none"/>
        </w:rPr>
      </w:pPr>
      <w:r>
        <w:rPr>
          <w:rFonts w:hint="eastAsia"/>
          <w:b w:val="0"/>
          <w:bCs w:val="0"/>
          <w:highlight w:val="none"/>
        </w:rPr>
        <w:t>管理体系及企业荣誉一览表</w:t>
      </w:r>
    </w:p>
    <w:p>
      <w:pPr>
        <w:widowControl/>
        <w:shd w:val="clear"/>
        <w:jc w:val="left"/>
        <w:rPr>
          <w:rFonts w:ascii="宋体" w:hAnsi="宋体" w:cs="宋体"/>
          <w:kern w:val="0"/>
          <w:szCs w:val="21"/>
          <w:highlight w:val="none"/>
          <w:lang w:bidi="ar"/>
        </w:rPr>
      </w:pPr>
    </w:p>
    <w:p>
      <w:pPr>
        <w:widowControl/>
        <w:shd w:val="clear"/>
        <w:jc w:val="left"/>
        <w:rPr>
          <w:rFonts w:ascii="宋体" w:hAnsi="宋体" w:cs="宋体"/>
          <w:spacing w:val="4"/>
          <w:szCs w:val="21"/>
          <w:highlight w:val="none"/>
        </w:rPr>
      </w:pPr>
      <w:r>
        <w:rPr>
          <w:rFonts w:hint="eastAsia" w:ascii="宋体" w:hAnsi="宋体" w:cs="宋体"/>
          <w:szCs w:val="21"/>
          <w:highlight w:val="none"/>
        </w:rPr>
        <w:t>投标人名称</w:t>
      </w:r>
      <w:r>
        <w:rPr>
          <w:rFonts w:hint="eastAsia" w:ascii="宋体" w:hAnsi="宋体" w:cs="宋体"/>
          <w:kern w:val="0"/>
          <w:szCs w:val="21"/>
          <w:highlight w:val="none"/>
          <w:lang w:bidi="ar"/>
        </w:rPr>
        <w:t>：                                             项目编号：BDGZ2023024</w:t>
      </w:r>
    </w:p>
    <w:tbl>
      <w:tblPr>
        <w:tblStyle w:val="23"/>
        <w:tblW w:w="90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64"/>
        <w:gridCol w:w="2264"/>
        <w:gridCol w:w="1881"/>
        <w:gridCol w:w="26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264" w:type="dxa"/>
            <w:tcBorders>
              <w:tl2br w:val="nil"/>
              <w:tr2bl w:val="nil"/>
            </w:tcBorders>
          </w:tcPr>
          <w:p>
            <w:pPr>
              <w:widowControl/>
              <w:shd w:val="clear"/>
              <w:spacing w:line="440" w:lineRule="exact"/>
              <w:jc w:val="center"/>
              <w:rPr>
                <w:rFonts w:ascii="宋体" w:hAnsi="宋体" w:cs="宋体"/>
                <w:b/>
                <w:spacing w:val="4"/>
                <w:kern w:val="0"/>
                <w:sz w:val="20"/>
                <w:szCs w:val="21"/>
                <w:highlight w:val="none"/>
              </w:rPr>
            </w:pPr>
            <w:r>
              <w:rPr>
                <w:rFonts w:hint="eastAsia" w:ascii="宋体" w:hAnsi="宋体" w:cs="宋体"/>
                <w:b/>
                <w:kern w:val="0"/>
                <w:sz w:val="21"/>
                <w:szCs w:val="21"/>
                <w:highlight w:val="none"/>
                <w:lang w:bidi="ar"/>
              </w:rPr>
              <w:t>证书名称</w:t>
            </w:r>
          </w:p>
        </w:tc>
        <w:tc>
          <w:tcPr>
            <w:tcW w:w="2264" w:type="dxa"/>
            <w:tcBorders>
              <w:tl2br w:val="nil"/>
              <w:tr2bl w:val="nil"/>
            </w:tcBorders>
          </w:tcPr>
          <w:p>
            <w:pPr>
              <w:widowControl/>
              <w:shd w:val="clear"/>
              <w:spacing w:line="440" w:lineRule="exact"/>
              <w:jc w:val="center"/>
              <w:rPr>
                <w:rFonts w:ascii="宋体" w:hAnsi="宋体" w:cs="宋体"/>
                <w:b/>
                <w:spacing w:val="4"/>
                <w:kern w:val="0"/>
                <w:sz w:val="20"/>
                <w:szCs w:val="21"/>
                <w:highlight w:val="none"/>
              </w:rPr>
            </w:pPr>
            <w:r>
              <w:rPr>
                <w:rFonts w:hint="eastAsia" w:ascii="宋体" w:hAnsi="宋体" w:cs="宋体"/>
                <w:b/>
                <w:spacing w:val="4"/>
                <w:kern w:val="0"/>
                <w:sz w:val="21"/>
                <w:szCs w:val="21"/>
                <w:highlight w:val="none"/>
              </w:rPr>
              <w:t>发证机构</w:t>
            </w:r>
          </w:p>
        </w:tc>
        <w:tc>
          <w:tcPr>
            <w:tcW w:w="1881" w:type="dxa"/>
            <w:tcBorders>
              <w:tl2br w:val="nil"/>
              <w:tr2bl w:val="nil"/>
            </w:tcBorders>
          </w:tcPr>
          <w:p>
            <w:pPr>
              <w:widowControl/>
              <w:shd w:val="clear"/>
              <w:spacing w:line="440" w:lineRule="exact"/>
              <w:jc w:val="center"/>
              <w:rPr>
                <w:rFonts w:ascii="宋体" w:hAnsi="宋体" w:cs="宋体"/>
                <w:b/>
                <w:spacing w:val="4"/>
                <w:kern w:val="0"/>
                <w:sz w:val="20"/>
                <w:szCs w:val="21"/>
                <w:highlight w:val="none"/>
              </w:rPr>
            </w:pPr>
            <w:r>
              <w:rPr>
                <w:rFonts w:hint="eastAsia" w:ascii="宋体" w:hAnsi="宋体" w:cs="宋体"/>
                <w:b/>
                <w:kern w:val="0"/>
                <w:sz w:val="21"/>
                <w:szCs w:val="21"/>
                <w:highlight w:val="none"/>
                <w:lang w:bidi="ar"/>
              </w:rPr>
              <w:t>证书有限期</w:t>
            </w:r>
          </w:p>
        </w:tc>
        <w:tc>
          <w:tcPr>
            <w:tcW w:w="2649" w:type="dxa"/>
            <w:tcBorders>
              <w:tl2br w:val="nil"/>
              <w:tr2bl w:val="nil"/>
            </w:tcBorders>
          </w:tcPr>
          <w:p>
            <w:pPr>
              <w:widowControl/>
              <w:shd w:val="clear"/>
              <w:spacing w:line="440" w:lineRule="exact"/>
              <w:jc w:val="center"/>
              <w:rPr>
                <w:rFonts w:ascii="宋体" w:hAnsi="宋体" w:cs="宋体"/>
                <w:b/>
                <w:spacing w:val="4"/>
                <w:kern w:val="0"/>
                <w:sz w:val="20"/>
                <w:szCs w:val="21"/>
                <w:highlight w:val="none"/>
              </w:rPr>
            </w:pPr>
            <w:r>
              <w:rPr>
                <w:rFonts w:hint="eastAsia" w:ascii="宋体" w:hAnsi="宋体" w:cs="宋体"/>
                <w:b/>
                <w:spacing w:val="4"/>
                <w:kern w:val="0"/>
                <w:sz w:val="21"/>
                <w:szCs w:val="21"/>
                <w:highlight w:val="none"/>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2264" w:type="dxa"/>
            <w:tcBorders>
              <w:tl2br w:val="nil"/>
              <w:tr2bl w:val="nil"/>
            </w:tcBorders>
          </w:tcPr>
          <w:p>
            <w:pPr>
              <w:shd w:val="clear"/>
              <w:spacing w:line="440" w:lineRule="exact"/>
              <w:rPr>
                <w:rFonts w:ascii="宋体" w:hAnsi="宋体" w:cs="宋体"/>
                <w:spacing w:val="4"/>
                <w:kern w:val="0"/>
                <w:sz w:val="20"/>
                <w:szCs w:val="21"/>
                <w:highlight w:val="none"/>
              </w:rPr>
            </w:pPr>
          </w:p>
        </w:tc>
        <w:tc>
          <w:tcPr>
            <w:tcW w:w="2264" w:type="dxa"/>
            <w:tcBorders>
              <w:tl2br w:val="nil"/>
              <w:tr2bl w:val="nil"/>
            </w:tcBorders>
          </w:tcPr>
          <w:p>
            <w:pPr>
              <w:shd w:val="clear"/>
              <w:spacing w:line="440" w:lineRule="exact"/>
              <w:rPr>
                <w:rFonts w:ascii="宋体" w:hAnsi="宋体" w:cs="宋体"/>
                <w:spacing w:val="4"/>
                <w:kern w:val="0"/>
                <w:sz w:val="20"/>
                <w:szCs w:val="21"/>
                <w:highlight w:val="none"/>
              </w:rPr>
            </w:pPr>
          </w:p>
        </w:tc>
        <w:tc>
          <w:tcPr>
            <w:tcW w:w="1881" w:type="dxa"/>
            <w:tcBorders>
              <w:tl2br w:val="nil"/>
              <w:tr2bl w:val="nil"/>
            </w:tcBorders>
          </w:tcPr>
          <w:p>
            <w:pPr>
              <w:shd w:val="clear"/>
              <w:spacing w:line="440" w:lineRule="exact"/>
              <w:rPr>
                <w:rFonts w:ascii="宋体" w:hAnsi="宋体" w:cs="宋体"/>
                <w:spacing w:val="4"/>
                <w:kern w:val="0"/>
                <w:sz w:val="20"/>
                <w:szCs w:val="21"/>
                <w:highlight w:val="none"/>
              </w:rPr>
            </w:pPr>
          </w:p>
        </w:tc>
        <w:tc>
          <w:tcPr>
            <w:tcW w:w="2649" w:type="dxa"/>
            <w:tcBorders>
              <w:tl2br w:val="nil"/>
              <w:tr2bl w:val="nil"/>
            </w:tcBorders>
            <w:vAlign w:val="center"/>
          </w:tcPr>
          <w:p>
            <w:pPr>
              <w:shd w:val="clear"/>
              <w:adjustRightInd w:val="0"/>
              <w:snapToGrid w:val="0"/>
              <w:ind w:left="-84" w:leftChars="-40" w:right="-107" w:rightChars="-51"/>
              <w:jc w:val="center"/>
              <w:rPr>
                <w:rFonts w:ascii="宋体" w:hAnsi="宋体" w:cs="宋体"/>
                <w:spacing w:val="4"/>
                <w:kern w:val="0"/>
                <w:sz w:val="20"/>
                <w:szCs w:val="21"/>
                <w:highlight w:val="none"/>
              </w:rPr>
            </w:pPr>
            <w:r>
              <w:rPr>
                <w:rFonts w:hint="eastAsia" w:ascii="宋体" w:hAnsi="宋体" w:cs="宋体"/>
                <w:kern w:val="0"/>
                <w:sz w:val="21"/>
                <w:szCs w:val="21"/>
                <w:highlight w:val="none"/>
              </w:rPr>
              <w:t>见第</w:t>
            </w:r>
            <w:r>
              <w:rPr>
                <w:rFonts w:hint="eastAsia" w:ascii="宋体" w:hAnsi="宋体" w:cs="宋体"/>
                <w:kern w:val="0"/>
                <w:sz w:val="21"/>
                <w:szCs w:val="21"/>
                <w:highlight w:val="none"/>
                <w:u w:val="single"/>
              </w:rPr>
              <w:t xml:space="preserve">   </w:t>
            </w:r>
            <w:r>
              <w:rPr>
                <w:rFonts w:hint="eastAsia" w:ascii="宋体" w:hAnsi="宋体" w:cs="宋体"/>
                <w:kern w:val="0"/>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2264" w:type="dxa"/>
            <w:tcBorders>
              <w:tl2br w:val="nil"/>
              <w:tr2bl w:val="nil"/>
            </w:tcBorders>
          </w:tcPr>
          <w:p>
            <w:pPr>
              <w:shd w:val="clear"/>
              <w:spacing w:line="440" w:lineRule="exact"/>
              <w:rPr>
                <w:rFonts w:ascii="宋体" w:hAnsi="宋体" w:cs="宋体"/>
                <w:spacing w:val="4"/>
                <w:kern w:val="0"/>
                <w:sz w:val="20"/>
                <w:szCs w:val="21"/>
                <w:highlight w:val="none"/>
              </w:rPr>
            </w:pPr>
          </w:p>
        </w:tc>
        <w:tc>
          <w:tcPr>
            <w:tcW w:w="2264" w:type="dxa"/>
            <w:tcBorders>
              <w:tl2br w:val="nil"/>
              <w:tr2bl w:val="nil"/>
            </w:tcBorders>
          </w:tcPr>
          <w:p>
            <w:pPr>
              <w:shd w:val="clear"/>
              <w:spacing w:line="440" w:lineRule="exact"/>
              <w:rPr>
                <w:rFonts w:ascii="宋体" w:hAnsi="宋体" w:cs="宋体"/>
                <w:spacing w:val="4"/>
                <w:kern w:val="0"/>
                <w:sz w:val="20"/>
                <w:szCs w:val="21"/>
                <w:highlight w:val="none"/>
              </w:rPr>
            </w:pPr>
          </w:p>
        </w:tc>
        <w:tc>
          <w:tcPr>
            <w:tcW w:w="1881" w:type="dxa"/>
            <w:tcBorders>
              <w:tl2br w:val="nil"/>
              <w:tr2bl w:val="nil"/>
            </w:tcBorders>
          </w:tcPr>
          <w:p>
            <w:pPr>
              <w:shd w:val="clear"/>
              <w:spacing w:line="440" w:lineRule="exact"/>
              <w:rPr>
                <w:rFonts w:ascii="宋体" w:hAnsi="宋体" w:cs="宋体"/>
                <w:spacing w:val="4"/>
                <w:kern w:val="0"/>
                <w:sz w:val="20"/>
                <w:szCs w:val="21"/>
                <w:highlight w:val="none"/>
              </w:rPr>
            </w:pPr>
          </w:p>
        </w:tc>
        <w:tc>
          <w:tcPr>
            <w:tcW w:w="2649" w:type="dxa"/>
            <w:tcBorders>
              <w:tl2br w:val="nil"/>
              <w:tr2bl w:val="nil"/>
            </w:tcBorders>
            <w:vAlign w:val="center"/>
          </w:tcPr>
          <w:p>
            <w:pPr>
              <w:shd w:val="clear"/>
              <w:adjustRightInd w:val="0"/>
              <w:snapToGrid w:val="0"/>
              <w:ind w:left="-84" w:leftChars="-40" w:right="-107" w:rightChars="-51"/>
              <w:jc w:val="center"/>
              <w:rPr>
                <w:rFonts w:ascii="宋体" w:hAnsi="宋体" w:cs="宋体"/>
                <w:spacing w:val="4"/>
                <w:kern w:val="0"/>
                <w:sz w:val="20"/>
                <w:szCs w:val="21"/>
                <w:highlight w:val="none"/>
              </w:rPr>
            </w:pPr>
            <w:r>
              <w:rPr>
                <w:rFonts w:hint="eastAsia" w:ascii="宋体" w:hAnsi="宋体" w:cs="宋体"/>
                <w:kern w:val="0"/>
                <w:sz w:val="21"/>
                <w:szCs w:val="21"/>
                <w:highlight w:val="none"/>
              </w:rPr>
              <w:t>见第</w:t>
            </w:r>
            <w:r>
              <w:rPr>
                <w:rFonts w:hint="eastAsia" w:ascii="宋体" w:hAnsi="宋体" w:cs="宋体"/>
                <w:kern w:val="0"/>
                <w:sz w:val="21"/>
                <w:szCs w:val="21"/>
                <w:highlight w:val="none"/>
                <w:u w:val="single"/>
              </w:rPr>
              <w:t xml:space="preserve">   </w:t>
            </w:r>
            <w:r>
              <w:rPr>
                <w:rFonts w:hint="eastAsia" w:ascii="宋体" w:hAnsi="宋体" w:cs="宋体"/>
                <w:kern w:val="0"/>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2264" w:type="dxa"/>
            <w:tcBorders>
              <w:tl2br w:val="nil"/>
              <w:tr2bl w:val="nil"/>
            </w:tcBorders>
          </w:tcPr>
          <w:p>
            <w:pPr>
              <w:shd w:val="clear"/>
              <w:spacing w:line="440" w:lineRule="exact"/>
              <w:rPr>
                <w:rFonts w:ascii="宋体" w:hAnsi="宋体" w:cs="宋体"/>
                <w:spacing w:val="4"/>
                <w:kern w:val="0"/>
                <w:sz w:val="20"/>
                <w:szCs w:val="21"/>
                <w:highlight w:val="none"/>
              </w:rPr>
            </w:pPr>
          </w:p>
        </w:tc>
        <w:tc>
          <w:tcPr>
            <w:tcW w:w="2264" w:type="dxa"/>
            <w:tcBorders>
              <w:tl2br w:val="nil"/>
              <w:tr2bl w:val="nil"/>
            </w:tcBorders>
          </w:tcPr>
          <w:p>
            <w:pPr>
              <w:shd w:val="clear"/>
              <w:spacing w:line="440" w:lineRule="exact"/>
              <w:rPr>
                <w:rFonts w:ascii="宋体" w:hAnsi="宋体" w:cs="宋体"/>
                <w:spacing w:val="4"/>
                <w:kern w:val="0"/>
                <w:sz w:val="20"/>
                <w:szCs w:val="21"/>
                <w:highlight w:val="none"/>
              </w:rPr>
            </w:pPr>
          </w:p>
        </w:tc>
        <w:tc>
          <w:tcPr>
            <w:tcW w:w="1881" w:type="dxa"/>
            <w:tcBorders>
              <w:tl2br w:val="nil"/>
              <w:tr2bl w:val="nil"/>
            </w:tcBorders>
          </w:tcPr>
          <w:p>
            <w:pPr>
              <w:shd w:val="clear"/>
              <w:spacing w:line="440" w:lineRule="exact"/>
              <w:rPr>
                <w:rFonts w:ascii="宋体" w:hAnsi="宋体" w:cs="宋体"/>
                <w:spacing w:val="4"/>
                <w:kern w:val="0"/>
                <w:sz w:val="20"/>
                <w:szCs w:val="21"/>
                <w:highlight w:val="none"/>
              </w:rPr>
            </w:pPr>
          </w:p>
        </w:tc>
        <w:tc>
          <w:tcPr>
            <w:tcW w:w="2649" w:type="dxa"/>
            <w:tcBorders>
              <w:tl2br w:val="nil"/>
              <w:tr2bl w:val="nil"/>
            </w:tcBorders>
            <w:vAlign w:val="center"/>
          </w:tcPr>
          <w:p>
            <w:pPr>
              <w:shd w:val="clear"/>
              <w:adjustRightInd w:val="0"/>
              <w:snapToGrid w:val="0"/>
              <w:ind w:left="-84" w:leftChars="-40" w:right="-107" w:rightChars="-51"/>
              <w:jc w:val="center"/>
              <w:rPr>
                <w:rFonts w:ascii="宋体" w:hAnsi="宋体" w:cs="宋体"/>
                <w:spacing w:val="4"/>
                <w:kern w:val="0"/>
                <w:sz w:val="20"/>
                <w:szCs w:val="21"/>
                <w:highlight w:val="none"/>
              </w:rPr>
            </w:pPr>
            <w:r>
              <w:rPr>
                <w:rFonts w:hint="eastAsia" w:ascii="宋体" w:hAnsi="宋体" w:cs="宋体"/>
                <w:kern w:val="0"/>
                <w:sz w:val="21"/>
                <w:szCs w:val="21"/>
                <w:highlight w:val="none"/>
              </w:rPr>
              <w:t>见第</w:t>
            </w:r>
            <w:r>
              <w:rPr>
                <w:rFonts w:hint="eastAsia" w:ascii="宋体" w:hAnsi="宋体" w:cs="宋体"/>
                <w:kern w:val="0"/>
                <w:sz w:val="21"/>
                <w:szCs w:val="21"/>
                <w:highlight w:val="none"/>
                <w:u w:val="single"/>
              </w:rPr>
              <w:t xml:space="preserve">   </w:t>
            </w:r>
            <w:r>
              <w:rPr>
                <w:rFonts w:hint="eastAsia" w:ascii="宋体" w:hAnsi="宋体" w:cs="宋体"/>
                <w:kern w:val="0"/>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264" w:type="dxa"/>
            <w:tcBorders>
              <w:tl2br w:val="nil"/>
              <w:tr2bl w:val="nil"/>
            </w:tcBorders>
          </w:tcPr>
          <w:p>
            <w:pPr>
              <w:shd w:val="clear"/>
              <w:spacing w:line="440" w:lineRule="exact"/>
              <w:rPr>
                <w:rFonts w:ascii="宋体" w:hAnsi="宋体" w:cs="宋体"/>
                <w:spacing w:val="4"/>
                <w:kern w:val="0"/>
                <w:sz w:val="20"/>
                <w:szCs w:val="21"/>
                <w:highlight w:val="none"/>
              </w:rPr>
            </w:pPr>
          </w:p>
        </w:tc>
        <w:tc>
          <w:tcPr>
            <w:tcW w:w="2264" w:type="dxa"/>
            <w:tcBorders>
              <w:tl2br w:val="nil"/>
              <w:tr2bl w:val="nil"/>
            </w:tcBorders>
          </w:tcPr>
          <w:p>
            <w:pPr>
              <w:shd w:val="clear"/>
              <w:spacing w:line="440" w:lineRule="exact"/>
              <w:rPr>
                <w:rFonts w:ascii="宋体" w:hAnsi="宋体" w:cs="宋体"/>
                <w:spacing w:val="4"/>
                <w:kern w:val="0"/>
                <w:sz w:val="20"/>
                <w:szCs w:val="21"/>
                <w:highlight w:val="none"/>
              </w:rPr>
            </w:pPr>
          </w:p>
        </w:tc>
        <w:tc>
          <w:tcPr>
            <w:tcW w:w="1881" w:type="dxa"/>
            <w:tcBorders>
              <w:tl2br w:val="nil"/>
              <w:tr2bl w:val="nil"/>
            </w:tcBorders>
          </w:tcPr>
          <w:p>
            <w:pPr>
              <w:shd w:val="clear"/>
              <w:spacing w:line="440" w:lineRule="exact"/>
              <w:rPr>
                <w:rFonts w:ascii="宋体" w:hAnsi="宋体" w:cs="宋体"/>
                <w:spacing w:val="4"/>
                <w:kern w:val="0"/>
                <w:sz w:val="20"/>
                <w:szCs w:val="21"/>
                <w:highlight w:val="none"/>
              </w:rPr>
            </w:pPr>
          </w:p>
        </w:tc>
        <w:tc>
          <w:tcPr>
            <w:tcW w:w="2649" w:type="dxa"/>
            <w:tcBorders>
              <w:tl2br w:val="nil"/>
              <w:tr2bl w:val="nil"/>
            </w:tcBorders>
            <w:vAlign w:val="center"/>
          </w:tcPr>
          <w:p>
            <w:pPr>
              <w:shd w:val="clear"/>
              <w:adjustRightInd w:val="0"/>
              <w:snapToGrid w:val="0"/>
              <w:ind w:left="-84" w:leftChars="-40" w:right="-107" w:rightChars="-51"/>
              <w:jc w:val="center"/>
              <w:rPr>
                <w:rFonts w:ascii="宋体" w:hAnsi="宋体" w:cs="宋体"/>
                <w:spacing w:val="4"/>
                <w:kern w:val="0"/>
                <w:sz w:val="20"/>
                <w:szCs w:val="21"/>
                <w:highlight w:val="none"/>
              </w:rPr>
            </w:pPr>
            <w:r>
              <w:rPr>
                <w:rFonts w:hint="eastAsia" w:ascii="宋体" w:hAnsi="宋体" w:cs="宋体"/>
                <w:kern w:val="0"/>
                <w:sz w:val="21"/>
                <w:szCs w:val="21"/>
                <w:highlight w:val="none"/>
              </w:rPr>
              <w:t>见第</w:t>
            </w:r>
            <w:r>
              <w:rPr>
                <w:rFonts w:hint="eastAsia" w:ascii="宋体" w:hAnsi="宋体" w:cs="宋体"/>
                <w:kern w:val="0"/>
                <w:sz w:val="21"/>
                <w:szCs w:val="21"/>
                <w:highlight w:val="none"/>
                <w:u w:val="single"/>
              </w:rPr>
              <w:t xml:space="preserve">   </w:t>
            </w:r>
            <w:r>
              <w:rPr>
                <w:rFonts w:hint="eastAsia" w:ascii="宋体" w:hAnsi="宋体" w:cs="宋体"/>
                <w:kern w:val="0"/>
                <w:sz w:val="21"/>
                <w:szCs w:val="21"/>
                <w:highlight w:val="none"/>
              </w:rPr>
              <w:t>页</w:t>
            </w:r>
          </w:p>
        </w:tc>
      </w:tr>
    </w:tbl>
    <w:p>
      <w:pPr>
        <w:shd w:val="clear"/>
        <w:spacing w:line="440" w:lineRule="exact"/>
        <w:rPr>
          <w:rFonts w:ascii="宋体" w:hAnsi="宋体" w:cs="宋体"/>
          <w:spacing w:val="4"/>
          <w:szCs w:val="21"/>
          <w:highlight w:val="none"/>
        </w:rPr>
      </w:pPr>
      <w:r>
        <w:rPr>
          <w:rFonts w:hint="eastAsia" w:ascii="宋体" w:hAnsi="宋体" w:cs="宋体"/>
          <w:spacing w:val="4"/>
          <w:szCs w:val="21"/>
          <w:highlight w:val="none"/>
        </w:rPr>
        <w:t>备注：</w:t>
      </w:r>
    </w:p>
    <w:p>
      <w:pPr>
        <w:numPr>
          <w:ilvl w:val="0"/>
          <w:numId w:val="164"/>
        </w:numPr>
        <w:shd w:val="clear"/>
        <w:spacing w:line="440" w:lineRule="exact"/>
        <w:rPr>
          <w:rFonts w:ascii="宋体" w:hAnsi="宋体" w:cs="宋体"/>
          <w:spacing w:val="4"/>
          <w:szCs w:val="21"/>
          <w:highlight w:val="none"/>
        </w:rPr>
      </w:pPr>
      <w:r>
        <w:rPr>
          <w:rFonts w:hint="eastAsia" w:ascii="宋体" w:hAnsi="宋体" w:cs="宋体"/>
          <w:spacing w:val="4"/>
          <w:szCs w:val="21"/>
          <w:highlight w:val="none"/>
        </w:rPr>
        <w:t xml:space="preserve">根据评分表的要求提交相应资料。 </w:t>
      </w:r>
    </w:p>
    <w:p>
      <w:pPr>
        <w:numPr>
          <w:ilvl w:val="0"/>
          <w:numId w:val="164"/>
        </w:numPr>
        <w:shd w:val="clear"/>
        <w:spacing w:line="440" w:lineRule="exact"/>
        <w:rPr>
          <w:rFonts w:ascii="宋体" w:hAnsi="宋体" w:cs="宋体"/>
          <w:spacing w:val="4"/>
          <w:szCs w:val="21"/>
          <w:highlight w:val="none"/>
        </w:rPr>
      </w:pPr>
      <w:r>
        <w:rPr>
          <w:rFonts w:hint="eastAsia" w:ascii="宋体" w:hAnsi="宋体" w:cs="宋体"/>
          <w:spacing w:val="4"/>
          <w:szCs w:val="21"/>
          <w:highlight w:val="none"/>
        </w:rPr>
        <w:t>如本表格式内容不能满足需要，投标人可根据本表格式自行扩展填写，但必须体现以上内容。</w:t>
      </w:r>
    </w:p>
    <w:p>
      <w:pPr>
        <w:shd w:val="clear"/>
        <w:spacing w:line="440" w:lineRule="exact"/>
        <w:rPr>
          <w:rFonts w:ascii="宋体" w:hAnsi="宋体" w:cs="宋体"/>
          <w:spacing w:val="4"/>
          <w:szCs w:val="21"/>
          <w:highlight w:val="none"/>
        </w:rPr>
      </w:pPr>
    </w:p>
    <w:p>
      <w:pPr>
        <w:shd w:val="clear"/>
        <w:spacing w:line="500" w:lineRule="exact"/>
        <w:rPr>
          <w:rFonts w:ascii="宋体" w:hAnsi="宋体" w:cs="宋体"/>
          <w:szCs w:val="21"/>
          <w:highlight w:val="none"/>
          <w:u w:val="single"/>
        </w:rPr>
      </w:pPr>
      <w:r>
        <w:rPr>
          <w:rFonts w:hint="eastAsia" w:ascii="宋体" w:hAnsi="宋体" w:cs="宋体"/>
          <w:spacing w:val="4"/>
          <w:szCs w:val="21"/>
          <w:highlight w:val="none"/>
        </w:rPr>
        <w:t>投标人名称（加盖公章）：</w:t>
      </w:r>
      <w:r>
        <w:rPr>
          <w:rFonts w:hint="eastAsia" w:ascii="宋体" w:hAnsi="宋体" w:cs="宋体"/>
          <w:spacing w:val="4"/>
          <w:szCs w:val="21"/>
          <w:highlight w:val="none"/>
          <w:u w:val="single"/>
        </w:rPr>
        <w:t xml:space="preserve">                             </w:t>
      </w:r>
    </w:p>
    <w:p>
      <w:pPr>
        <w:shd w:val="clear"/>
        <w:rPr>
          <w:rFonts w:ascii="宋体" w:hAnsi="宋体" w:cs="宋体"/>
          <w:spacing w:val="4"/>
          <w:szCs w:val="21"/>
          <w:highlight w:val="none"/>
        </w:rPr>
      </w:pPr>
    </w:p>
    <w:p>
      <w:pPr>
        <w:shd w:val="clear"/>
        <w:spacing w:line="520" w:lineRule="exact"/>
        <w:rPr>
          <w:rFonts w:ascii="宋体" w:hAnsi="宋体" w:cs="宋体"/>
          <w:spacing w:val="4"/>
          <w:szCs w:val="21"/>
          <w:highlight w:val="none"/>
        </w:rPr>
      </w:pPr>
      <w:r>
        <w:rPr>
          <w:rFonts w:hint="eastAsia" w:ascii="宋体" w:hAnsi="宋体" w:cs="宋体"/>
          <w:szCs w:val="21"/>
          <w:highlight w:val="none"/>
        </w:rPr>
        <w:t>法定代表人或投标人授权代表（签名或盖章）：</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职务：</w:t>
      </w:r>
      <w:r>
        <w:rPr>
          <w:rFonts w:hint="eastAsia" w:ascii="宋体" w:hAnsi="宋体" w:cs="宋体"/>
          <w:spacing w:val="4"/>
          <w:szCs w:val="21"/>
          <w:highlight w:val="none"/>
          <w:u w:val="single"/>
        </w:rPr>
        <w:t xml:space="preserve">        </w:t>
      </w:r>
      <w:r>
        <w:rPr>
          <w:rFonts w:hint="eastAsia" w:ascii="宋体" w:hAnsi="宋体" w:cs="宋体"/>
          <w:spacing w:val="4"/>
          <w:szCs w:val="21"/>
          <w:highlight w:val="none"/>
        </w:rPr>
        <w:t xml:space="preserve"> 日期</w:t>
      </w:r>
      <w:r>
        <w:rPr>
          <w:rFonts w:hint="eastAsia" w:ascii="宋体" w:hAnsi="宋体" w:cs="宋体"/>
          <w:spacing w:val="4"/>
          <w:szCs w:val="21"/>
          <w:highlight w:val="none"/>
          <w:u w:val="single"/>
        </w:rPr>
        <w:t xml:space="preserve">         </w:t>
      </w:r>
    </w:p>
    <w:p>
      <w:pPr>
        <w:shd w:val="clear"/>
        <w:spacing w:line="440" w:lineRule="exact"/>
        <w:rPr>
          <w:rFonts w:ascii="宋体" w:hAnsi="宋体" w:cs="宋体"/>
          <w:spacing w:val="4"/>
          <w:szCs w:val="21"/>
          <w:highlight w:val="none"/>
        </w:rPr>
      </w:pPr>
    </w:p>
    <w:p>
      <w:pPr>
        <w:shd w:val="clear"/>
        <w:spacing w:line="440" w:lineRule="exact"/>
        <w:rPr>
          <w:rFonts w:ascii="宋体" w:hAnsi="宋体" w:cs="宋体"/>
          <w:spacing w:val="4"/>
          <w:szCs w:val="21"/>
          <w:highlight w:val="none"/>
        </w:rPr>
      </w:pPr>
    </w:p>
    <w:p>
      <w:pPr>
        <w:shd w:val="clear"/>
        <w:spacing w:line="440" w:lineRule="exact"/>
        <w:rPr>
          <w:rFonts w:ascii="宋体" w:hAnsi="宋体" w:cs="宋体"/>
          <w:spacing w:val="4"/>
          <w:szCs w:val="21"/>
          <w:highlight w:val="none"/>
        </w:rPr>
      </w:pPr>
    </w:p>
    <w:p>
      <w:pPr>
        <w:shd w:val="clear"/>
        <w:spacing w:line="440" w:lineRule="exact"/>
        <w:rPr>
          <w:rFonts w:ascii="宋体" w:hAnsi="宋体" w:cs="宋体"/>
          <w:spacing w:val="4"/>
          <w:szCs w:val="21"/>
          <w:highlight w:val="none"/>
        </w:rPr>
      </w:pPr>
    </w:p>
    <w:p>
      <w:pPr>
        <w:shd w:val="clear"/>
        <w:spacing w:line="440" w:lineRule="exact"/>
        <w:rPr>
          <w:rFonts w:ascii="宋体" w:hAnsi="宋体" w:cs="宋体"/>
          <w:spacing w:val="4"/>
          <w:szCs w:val="21"/>
          <w:highlight w:val="none"/>
        </w:rPr>
      </w:pPr>
    </w:p>
    <w:p>
      <w:pPr>
        <w:shd w:val="clear"/>
        <w:spacing w:line="440" w:lineRule="exact"/>
        <w:rPr>
          <w:rFonts w:ascii="宋体" w:hAnsi="宋体" w:cs="宋体"/>
          <w:spacing w:val="4"/>
          <w:szCs w:val="21"/>
          <w:highlight w:val="none"/>
        </w:rPr>
      </w:pPr>
    </w:p>
    <w:p>
      <w:pPr>
        <w:shd w:val="clear"/>
        <w:spacing w:line="440" w:lineRule="exact"/>
        <w:rPr>
          <w:rFonts w:ascii="宋体" w:hAnsi="宋体" w:cs="宋体"/>
          <w:spacing w:val="4"/>
          <w:szCs w:val="21"/>
          <w:highlight w:val="none"/>
        </w:rPr>
      </w:pPr>
    </w:p>
    <w:p>
      <w:pPr>
        <w:shd w:val="clear"/>
        <w:spacing w:line="440" w:lineRule="exact"/>
        <w:rPr>
          <w:rFonts w:ascii="宋体" w:hAnsi="宋体" w:cs="宋体"/>
          <w:spacing w:val="4"/>
          <w:szCs w:val="21"/>
          <w:highlight w:val="none"/>
        </w:rPr>
      </w:pPr>
    </w:p>
    <w:p>
      <w:pPr>
        <w:shd w:val="clear"/>
        <w:spacing w:line="440" w:lineRule="exact"/>
        <w:rPr>
          <w:rFonts w:ascii="宋体" w:hAnsi="宋体" w:cs="宋体"/>
          <w:spacing w:val="4"/>
          <w:szCs w:val="21"/>
          <w:highlight w:val="none"/>
        </w:rPr>
      </w:pPr>
    </w:p>
    <w:p>
      <w:pPr>
        <w:shd w:val="clear"/>
        <w:spacing w:line="440" w:lineRule="exact"/>
        <w:rPr>
          <w:rFonts w:ascii="宋体" w:hAnsi="宋体" w:cs="宋体"/>
          <w:spacing w:val="4"/>
          <w:szCs w:val="21"/>
          <w:highlight w:val="none"/>
        </w:rPr>
      </w:pPr>
    </w:p>
    <w:p>
      <w:pPr>
        <w:shd w:val="clear"/>
        <w:spacing w:line="440" w:lineRule="exact"/>
        <w:rPr>
          <w:rFonts w:ascii="宋体" w:hAnsi="宋体" w:cs="宋体"/>
          <w:spacing w:val="4"/>
          <w:szCs w:val="21"/>
          <w:highlight w:val="none"/>
        </w:rPr>
      </w:pPr>
    </w:p>
    <w:p>
      <w:pPr>
        <w:shd w:val="clear"/>
        <w:rPr>
          <w:rFonts w:ascii="宋体" w:hAnsi="宋体" w:cs="宋体"/>
          <w:spacing w:val="4"/>
          <w:szCs w:val="21"/>
          <w:highlight w:val="none"/>
        </w:rPr>
      </w:pPr>
      <w:r>
        <w:rPr>
          <w:rFonts w:hint="eastAsia" w:ascii="宋体" w:hAnsi="宋体" w:cs="宋体"/>
          <w:spacing w:val="4"/>
          <w:szCs w:val="21"/>
          <w:highlight w:val="none"/>
        </w:rPr>
        <w:br w:type="page"/>
      </w:r>
    </w:p>
    <w:p>
      <w:pPr>
        <w:pStyle w:val="42"/>
        <w:shd w:val="clear"/>
        <w:rPr>
          <w:highlight w:val="none"/>
        </w:rPr>
      </w:pPr>
    </w:p>
    <w:p>
      <w:pPr>
        <w:numPr>
          <w:ilvl w:val="0"/>
          <w:numId w:val="147"/>
        </w:numPr>
        <w:shd w:val="clear"/>
        <w:spacing w:line="440" w:lineRule="exact"/>
        <w:rPr>
          <w:rFonts w:ascii="宋体" w:hAnsi="宋体" w:cs="宋体"/>
          <w:spacing w:val="4"/>
          <w:szCs w:val="21"/>
          <w:highlight w:val="none"/>
        </w:rPr>
      </w:pPr>
    </w:p>
    <w:bookmarkEnd w:id="133"/>
    <w:bookmarkEnd w:id="149"/>
    <w:p>
      <w:pPr>
        <w:pStyle w:val="5"/>
        <w:shd w:val="clear"/>
        <w:adjustRightInd w:val="0"/>
        <w:snapToGrid w:val="0"/>
        <w:spacing w:before="20" w:after="20" w:line="415" w:lineRule="auto"/>
        <w:jc w:val="center"/>
        <w:rPr>
          <w:rFonts w:ascii="宋体" w:hAnsi="宋体"/>
          <w:highlight w:val="none"/>
        </w:rPr>
      </w:pPr>
      <w:bookmarkStart w:id="150" w:name="_Toc275865624"/>
      <w:r>
        <w:rPr>
          <w:rFonts w:hint="eastAsia" w:ascii="宋体" w:hAnsi="宋体"/>
          <w:b w:val="0"/>
          <w:sz w:val="36"/>
          <w:szCs w:val="36"/>
          <w:highlight w:val="none"/>
        </w:rPr>
        <w:t>资料原件提交清单</w:t>
      </w:r>
      <w:r>
        <w:rPr>
          <w:rFonts w:hint="eastAsia" w:ascii="宋体" w:hAnsi="宋体"/>
          <w:highlight w:val="none"/>
        </w:rPr>
        <w:t xml:space="preserve"> </w:t>
      </w:r>
    </w:p>
    <w:p>
      <w:pPr>
        <w:shd w:val="clear"/>
        <w:spacing w:after="156" w:afterLines="50"/>
        <w:jc w:val="center"/>
        <w:outlineLvl w:val="2"/>
        <w:rPr>
          <w:rFonts w:ascii="宋体" w:hAnsi="宋体"/>
          <w:highlight w:val="none"/>
        </w:rPr>
      </w:pPr>
      <w:r>
        <w:rPr>
          <w:rFonts w:hint="eastAsia" w:ascii="宋体" w:hAnsi="宋体"/>
          <w:highlight w:val="none"/>
        </w:rPr>
        <w:t xml:space="preserve">投标人名称：                                              项目编号：BDGZ2023024       </w:t>
      </w:r>
    </w:p>
    <w:tbl>
      <w:tblPr>
        <w:tblStyle w:val="22"/>
        <w:tblW w:w="9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296"/>
        <w:gridCol w:w="1200"/>
        <w:gridCol w:w="2294"/>
        <w:gridCol w:w="701"/>
        <w:gridCol w:w="701"/>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90" w:type="dxa"/>
            <w:vMerge w:val="restart"/>
            <w:tcBorders>
              <w:top w:val="single" w:color="auto" w:sz="12" w:space="0"/>
              <w:left w:val="single" w:color="auto" w:sz="12" w:space="0"/>
            </w:tcBorders>
            <w:vAlign w:val="center"/>
          </w:tcPr>
          <w:p>
            <w:pPr>
              <w:shd w:val="clear"/>
              <w:spacing w:line="360" w:lineRule="auto"/>
              <w:jc w:val="center"/>
              <w:rPr>
                <w:rFonts w:ascii="宋体" w:hAnsi="宋体"/>
                <w:b/>
                <w:highlight w:val="none"/>
              </w:rPr>
            </w:pPr>
            <w:r>
              <w:rPr>
                <w:rFonts w:hint="eastAsia" w:ascii="宋体" w:hAnsi="宋体"/>
                <w:b/>
                <w:highlight w:val="none"/>
              </w:rPr>
              <w:t>序号</w:t>
            </w:r>
          </w:p>
        </w:tc>
        <w:tc>
          <w:tcPr>
            <w:tcW w:w="2296" w:type="dxa"/>
            <w:vMerge w:val="restart"/>
            <w:tcBorders>
              <w:top w:val="single" w:color="auto" w:sz="12" w:space="0"/>
            </w:tcBorders>
            <w:vAlign w:val="center"/>
          </w:tcPr>
          <w:p>
            <w:pPr>
              <w:shd w:val="clear"/>
              <w:spacing w:line="360" w:lineRule="auto"/>
              <w:jc w:val="center"/>
              <w:rPr>
                <w:b/>
                <w:highlight w:val="none"/>
              </w:rPr>
            </w:pPr>
            <w:r>
              <w:rPr>
                <w:rFonts w:hint="eastAsia"/>
                <w:b/>
                <w:highlight w:val="none"/>
              </w:rPr>
              <w:t>资料名称</w:t>
            </w:r>
          </w:p>
        </w:tc>
        <w:tc>
          <w:tcPr>
            <w:tcW w:w="1200" w:type="dxa"/>
            <w:vMerge w:val="restart"/>
            <w:tcBorders>
              <w:top w:val="single" w:color="auto" w:sz="12" w:space="0"/>
            </w:tcBorders>
            <w:vAlign w:val="center"/>
          </w:tcPr>
          <w:p>
            <w:pPr>
              <w:shd w:val="clear"/>
              <w:spacing w:line="360" w:lineRule="auto"/>
              <w:jc w:val="center"/>
              <w:rPr>
                <w:b/>
                <w:highlight w:val="none"/>
              </w:rPr>
            </w:pPr>
            <w:r>
              <w:rPr>
                <w:rFonts w:hint="eastAsia"/>
                <w:b/>
                <w:highlight w:val="none"/>
              </w:rPr>
              <w:t>页数</w:t>
            </w:r>
          </w:p>
        </w:tc>
        <w:tc>
          <w:tcPr>
            <w:tcW w:w="2294" w:type="dxa"/>
            <w:vMerge w:val="restart"/>
            <w:tcBorders>
              <w:top w:val="single" w:color="auto" w:sz="12" w:space="0"/>
            </w:tcBorders>
            <w:vAlign w:val="center"/>
          </w:tcPr>
          <w:p>
            <w:pPr>
              <w:shd w:val="clear"/>
              <w:spacing w:line="360" w:lineRule="auto"/>
              <w:jc w:val="center"/>
              <w:rPr>
                <w:b/>
                <w:highlight w:val="none"/>
              </w:rPr>
            </w:pPr>
            <w:r>
              <w:rPr>
                <w:rFonts w:hint="eastAsia"/>
                <w:b/>
                <w:highlight w:val="none"/>
              </w:rPr>
              <w:t>对应投标文件页码</w:t>
            </w:r>
          </w:p>
        </w:tc>
        <w:tc>
          <w:tcPr>
            <w:tcW w:w="1402" w:type="dxa"/>
            <w:gridSpan w:val="2"/>
            <w:tcBorders>
              <w:top w:val="single" w:color="auto" w:sz="12" w:space="0"/>
            </w:tcBorders>
          </w:tcPr>
          <w:p>
            <w:pPr>
              <w:shd w:val="clear"/>
              <w:spacing w:line="360" w:lineRule="auto"/>
              <w:jc w:val="center"/>
              <w:rPr>
                <w:b/>
                <w:highlight w:val="none"/>
              </w:rPr>
            </w:pPr>
            <w:r>
              <w:rPr>
                <w:rFonts w:hint="eastAsia" w:ascii="宋体" w:hAnsi="宋体"/>
                <w:b/>
                <w:highlight w:val="none"/>
              </w:rPr>
              <w:t>提交情况</w:t>
            </w:r>
          </w:p>
        </w:tc>
        <w:tc>
          <w:tcPr>
            <w:tcW w:w="1786" w:type="dxa"/>
            <w:vMerge w:val="restart"/>
            <w:tcBorders>
              <w:top w:val="single" w:color="auto" w:sz="12" w:space="0"/>
              <w:right w:val="single" w:color="auto" w:sz="12" w:space="0"/>
            </w:tcBorders>
            <w:vAlign w:val="center"/>
          </w:tcPr>
          <w:p>
            <w:pPr>
              <w:shd w:val="clear"/>
              <w:spacing w:line="360" w:lineRule="auto"/>
              <w:jc w:val="center"/>
              <w:rPr>
                <w:b/>
                <w:highlight w:val="none"/>
              </w:rPr>
            </w:pPr>
            <w:r>
              <w:rPr>
                <w:rFonts w:hint="eastAsia"/>
                <w:b/>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0" w:type="dxa"/>
            <w:vMerge w:val="continue"/>
            <w:tcBorders>
              <w:left w:val="single" w:color="auto" w:sz="12" w:space="0"/>
            </w:tcBorders>
            <w:vAlign w:val="center"/>
          </w:tcPr>
          <w:p>
            <w:pPr>
              <w:shd w:val="clear"/>
              <w:spacing w:line="360" w:lineRule="auto"/>
              <w:jc w:val="center"/>
              <w:rPr>
                <w:rFonts w:ascii="宋体" w:hAnsi="宋体"/>
                <w:b/>
                <w:highlight w:val="none"/>
              </w:rPr>
            </w:pPr>
          </w:p>
        </w:tc>
        <w:tc>
          <w:tcPr>
            <w:tcW w:w="2296" w:type="dxa"/>
            <w:vMerge w:val="continue"/>
            <w:vAlign w:val="center"/>
          </w:tcPr>
          <w:p>
            <w:pPr>
              <w:shd w:val="clear"/>
              <w:spacing w:line="360" w:lineRule="auto"/>
              <w:jc w:val="center"/>
              <w:rPr>
                <w:b/>
                <w:highlight w:val="none"/>
              </w:rPr>
            </w:pPr>
          </w:p>
        </w:tc>
        <w:tc>
          <w:tcPr>
            <w:tcW w:w="1200" w:type="dxa"/>
            <w:vMerge w:val="continue"/>
            <w:vAlign w:val="center"/>
          </w:tcPr>
          <w:p>
            <w:pPr>
              <w:shd w:val="clear"/>
              <w:spacing w:line="360" w:lineRule="auto"/>
              <w:jc w:val="center"/>
              <w:rPr>
                <w:b/>
                <w:highlight w:val="none"/>
              </w:rPr>
            </w:pPr>
          </w:p>
        </w:tc>
        <w:tc>
          <w:tcPr>
            <w:tcW w:w="2294" w:type="dxa"/>
            <w:vMerge w:val="continue"/>
            <w:vAlign w:val="center"/>
          </w:tcPr>
          <w:p>
            <w:pPr>
              <w:shd w:val="clear"/>
              <w:spacing w:line="360" w:lineRule="auto"/>
              <w:jc w:val="center"/>
              <w:rPr>
                <w:b/>
                <w:highlight w:val="none"/>
              </w:rPr>
            </w:pPr>
          </w:p>
        </w:tc>
        <w:tc>
          <w:tcPr>
            <w:tcW w:w="701" w:type="dxa"/>
            <w:tcBorders>
              <w:top w:val="single" w:color="auto" w:sz="4" w:space="0"/>
            </w:tcBorders>
            <w:vAlign w:val="center"/>
          </w:tcPr>
          <w:p>
            <w:pPr>
              <w:shd w:val="clear"/>
              <w:jc w:val="center"/>
              <w:rPr>
                <w:rFonts w:ascii="宋体" w:hAnsi="宋体"/>
                <w:b/>
                <w:highlight w:val="none"/>
              </w:rPr>
            </w:pPr>
            <w:r>
              <w:rPr>
                <w:rFonts w:hint="eastAsia" w:ascii="宋体" w:hAnsi="宋体"/>
                <w:b/>
                <w:highlight w:val="none"/>
              </w:rPr>
              <w:t>有</w:t>
            </w:r>
          </w:p>
        </w:tc>
        <w:tc>
          <w:tcPr>
            <w:tcW w:w="701" w:type="dxa"/>
            <w:tcBorders>
              <w:top w:val="single" w:color="auto" w:sz="4" w:space="0"/>
            </w:tcBorders>
            <w:vAlign w:val="center"/>
          </w:tcPr>
          <w:p>
            <w:pPr>
              <w:shd w:val="clear"/>
              <w:jc w:val="center"/>
              <w:rPr>
                <w:rFonts w:ascii="宋体" w:hAnsi="宋体"/>
                <w:b/>
                <w:highlight w:val="none"/>
              </w:rPr>
            </w:pPr>
            <w:r>
              <w:rPr>
                <w:rFonts w:hint="eastAsia" w:ascii="宋体" w:hAnsi="宋体"/>
                <w:b/>
                <w:highlight w:val="none"/>
              </w:rPr>
              <w:t>无</w:t>
            </w:r>
          </w:p>
        </w:tc>
        <w:tc>
          <w:tcPr>
            <w:tcW w:w="1786" w:type="dxa"/>
            <w:vMerge w:val="continue"/>
            <w:tcBorders>
              <w:right w:val="single" w:color="auto" w:sz="12" w:space="0"/>
            </w:tcBorders>
            <w:vAlign w:val="center"/>
          </w:tcPr>
          <w:p>
            <w:pPr>
              <w:shd w:val="clear"/>
              <w:spacing w:line="360" w:lineRule="auto"/>
              <w:jc w:val="center"/>
              <w:rPr>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5"/>
              </w:numPr>
              <w:shd w:val="clear"/>
              <w:spacing w:line="360" w:lineRule="auto"/>
              <w:jc w:val="center"/>
              <w:rPr>
                <w:rFonts w:ascii="宋体" w:hAnsi="宋体"/>
                <w:highlight w:val="none"/>
              </w:rPr>
            </w:pPr>
          </w:p>
        </w:tc>
        <w:tc>
          <w:tcPr>
            <w:tcW w:w="2296" w:type="dxa"/>
            <w:vAlign w:val="center"/>
          </w:tcPr>
          <w:p>
            <w:pPr>
              <w:shd w:val="clear"/>
              <w:spacing w:line="360" w:lineRule="auto"/>
              <w:jc w:val="center"/>
              <w:rPr>
                <w:highlight w:val="none"/>
              </w:rPr>
            </w:pPr>
          </w:p>
        </w:tc>
        <w:tc>
          <w:tcPr>
            <w:tcW w:w="1200" w:type="dxa"/>
            <w:vAlign w:val="center"/>
          </w:tcPr>
          <w:p>
            <w:pPr>
              <w:shd w:val="clear"/>
              <w:spacing w:line="360" w:lineRule="auto"/>
              <w:jc w:val="center"/>
              <w:rPr>
                <w:highlight w:val="none"/>
              </w:rPr>
            </w:pPr>
          </w:p>
        </w:tc>
        <w:tc>
          <w:tcPr>
            <w:tcW w:w="2294" w:type="dxa"/>
            <w:vAlign w:val="center"/>
          </w:tcPr>
          <w:p>
            <w:pPr>
              <w:shd w:val="clear"/>
              <w:adjustRightInd w:val="0"/>
              <w:snapToGrid w:val="0"/>
              <w:jc w:val="center"/>
              <w:rPr>
                <w:highlight w:val="none"/>
              </w:rPr>
            </w:pPr>
            <w:r>
              <w:rPr>
                <w:rFonts w:hint="eastAsia" w:ascii="宋体" w:hAnsi="宋体" w:cs="宋体"/>
                <w:szCs w:val="21"/>
                <w:highlight w:val="none"/>
              </w:rPr>
              <w:t>见《投标文件》第</w:t>
            </w:r>
            <w:r>
              <w:rPr>
                <w:rFonts w:hint="eastAsia" w:ascii="宋体" w:hAnsi="宋体" w:cs="宋体"/>
                <w:szCs w:val="21"/>
                <w:highlight w:val="none"/>
                <w:u w:val="single"/>
              </w:rPr>
              <w:t xml:space="preserve">   </w:t>
            </w:r>
            <w:r>
              <w:rPr>
                <w:rFonts w:hint="eastAsia" w:ascii="宋体" w:hAnsi="宋体" w:cs="宋体"/>
                <w:szCs w:val="21"/>
                <w:highlight w:val="none"/>
              </w:rPr>
              <w:t>页至</w:t>
            </w:r>
            <w:r>
              <w:rPr>
                <w:rFonts w:hint="eastAsia" w:ascii="宋体" w:hAnsi="宋体" w:cs="宋体"/>
                <w:szCs w:val="21"/>
                <w:highlight w:val="none"/>
                <w:u w:val="single"/>
              </w:rPr>
              <w:t xml:space="preserve">   </w:t>
            </w:r>
            <w:r>
              <w:rPr>
                <w:rFonts w:hint="eastAsia" w:ascii="宋体" w:hAnsi="宋体" w:cs="宋体"/>
                <w:szCs w:val="21"/>
                <w:highlight w:val="none"/>
              </w:rPr>
              <w:t>页</w:t>
            </w:r>
          </w:p>
        </w:tc>
        <w:tc>
          <w:tcPr>
            <w:tcW w:w="701" w:type="dxa"/>
          </w:tcPr>
          <w:p>
            <w:pPr>
              <w:shd w:val="clear"/>
              <w:spacing w:line="360" w:lineRule="auto"/>
              <w:jc w:val="center"/>
              <w:rPr>
                <w:highlight w:val="none"/>
              </w:rPr>
            </w:pPr>
          </w:p>
        </w:tc>
        <w:tc>
          <w:tcPr>
            <w:tcW w:w="701" w:type="dxa"/>
          </w:tcPr>
          <w:p>
            <w:pPr>
              <w:shd w:val="clear"/>
              <w:spacing w:line="360" w:lineRule="auto"/>
              <w:jc w:val="center"/>
              <w:rPr>
                <w:highlight w:val="none"/>
              </w:rPr>
            </w:pPr>
          </w:p>
        </w:tc>
        <w:tc>
          <w:tcPr>
            <w:tcW w:w="1786" w:type="dxa"/>
            <w:tcBorders>
              <w:right w:val="single" w:color="auto" w:sz="12" w:space="0"/>
            </w:tcBorders>
            <w:vAlign w:val="center"/>
          </w:tcPr>
          <w:p>
            <w:pPr>
              <w:shd w:val="clear"/>
              <w:spacing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5"/>
              </w:numPr>
              <w:shd w:val="clear"/>
              <w:spacing w:line="360" w:lineRule="auto"/>
              <w:jc w:val="center"/>
              <w:rPr>
                <w:rFonts w:ascii="宋体" w:hAnsi="宋体"/>
                <w:highlight w:val="none"/>
              </w:rPr>
            </w:pPr>
          </w:p>
        </w:tc>
        <w:tc>
          <w:tcPr>
            <w:tcW w:w="2296" w:type="dxa"/>
            <w:vAlign w:val="center"/>
          </w:tcPr>
          <w:p>
            <w:pPr>
              <w:shd w:val="clear"/>
              <w:spacing w:line="360" w:lineRule="auto"/>
              <w:jc w:val="center"/>
              <w:rPr>
                <w:highlight w:val="none"/>
              </w:rPr>
            </w:pPr>
          </w:p>
        </w:tc>
        <w:tc>
          <w:tcPr>
            <w:tcW w:w="1200" w:type="dxa"/>
            <w:vAlign w:val="center"/>
          </w:tcPr>
          <w:p>
            <w:pPr>
              <w:shd w:val="clear"/>
              <w:spacing w:line="360" w:lineRule="auto"/>
              <w:jc w:val="center"/>
              <w:rPr>
                <w:highlight w:val="none"/>
              </w:rPr>
            </w:pPr>
          </w:p>
        </w:tc>
        <w:tc>
          <w:tcPr>
            <w:tcW w:w="2294" w:type="dxa"/>
            <w:vAlign w:val="center"/>
          </w:tcPr>
          <w:p>
            <w:pPr>
              <w:shd w:val="clear"/>
              <w:adjustRightInd w:val="0"/>
              <w:snapToGrid w:val="0"/>
              <w:jc w:val="center"/>
              <w:rPr>
                <w:highlight w:val="none"/>
              </w:rPr>
            </w:pPr>
            <w:r>
              <w:rPr>
                <w:rFonts w:hint="eastAsia" w:ascii="宋体" w:hAnsi="宋体" w:cs="宋体"/>
                <w:szCs w:val="21"/>
                <w:highlight w:val="none"/>
              </w:rPr>
              <w:t>见《投标文件》第</w:t>
            </w:r>
            <w:r>
              <w:rPr>
                <w:rFonts w:hint="eastAsia" w:ascii="宋体" w:hAnsi="宋体" w:cs="宋体"/>
                <w:szCs w:val="21"/>
                <w:highlight w:val="none"/>
                <w:u w:val="single"/>
              </w:rPr>
              <w:t xml:space="preserve">   </w:t>
            </w:r>
            <w:r>
              <w:rPr>
                <w:rFonts w:hint="eastAsia" w:ascii="宋体" w:hAnsi="宋体" w:cs="宋体"/>
                <w:szCs w:val="21"/>
                <w:highlight w:val="none"/>
              </w:rPr>
              <w:t>页至</w:t>
            </w:r>
            <w:r>
              <w:rPr>
                <w:rFonts w:hint="eastAsia" w:ascii="宋体" w:hAnsi="宋体" w:cs="宋体"/>
                <w:szCs w:val="21"/>
                <w:highlight w:val="none"/>
                <w:u w:val="single"/>
              </w:rPr>
              <w:t xml:space="preserve">   </w:t>
            </w:r>
            <w:r>
              <w:rPr>
                <w:rFonts w:hint="eastAsia" w:ascii="宋体" w:hAnsi="宋体" w:cs="宋体"/>
                <w:szCs w:val="21"/>
                <w:highlight w:val="none"/>
              </w:rPr>
              <w:t>页</w:t>
            </w:r>
          </w:p>
        </w:tc>
        <w:tc>
          <w:tcPr>
            <w:tcW w:w="701" w:type="dxa"/>
          </w:tcPr>
          <w:p>
            <w:pPr>
              <w:shd w:val="clear"/>
              <w:spacing w:line="360" w:lineRule="auto"/>
              <w:jc w:val="center"/>
              <w:rPr>
                <w:highlight w:val="none"/>
              </w:rPr>
            </w:pPr>
          </w:p>
        </w:tc>
        <w:tc>
          <w:tcPr>
            <w:tcW w:w="701" w:type="dxa"/>
          </w:tcPr>
          <w:p>
            <w:pPr>
              <w:shd w:val="clear"/>
              <w:spacing w:line="360" w:lineRule="auto"/>
              <w:jc w:val="center"/>
              <w:rPr>
                <w:highlight w:val="none"/>
              </w:rPr>
            </w:pPr>
          </w:p>
        </w:tc>
        <w:tc>
          <w:tcPr>
            <w:tcW w:w="1786" w:type="dxa"/>
            <w:tcBorders>
              <w:right w:val="single" w:color="auto" w:sz="12" w:space="0"/>
            </w:tcBorders>
            <w:vAlign w:val="center"/>
          </w:tcPr>
          <w:p>
            <w:pPr>
              <w:shd w:val="clear"/>
              <w:spacing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5"/>
              </w:numPr>
              <w:shd w:val="clear"/>
              <w:spacing w:line="360" w:lineRule="auto"/>
              <w:jc w:val="center"/>
              <w:rPr>
                <w:rFonts w:ascii="宋体" w:hAnsi="宋体"/>
                <w:highlight w:val="none"/>
              </w:rPr>
            </w:pPr>
          </w:p>
        </w:tc>
        <w:tc>
          <w:tcPr>
            <w:tcW w:w="2296" w:type="dxa"/>
            <w:vAlign w:val="center"/>
          </w:tcPr>
          <w:p>
            <w:pPr>
              <w:shd w:val="clear"/>
              <w:spacing w:line="360" w:lineRule="auto"/>
              <w:jc w:val="center"/>
              <w:rPr>
                <w:highlight w:val="none"/>
              </w:rPr>
            </w:pPr>
          </w:p>
        </w:tc>
        <w:tc>
          <w:tcPr>
            <w:tcW w:w="1200" w:type="dxa"/>
            <w:vAlign w:val="center"/>
          </w:tcPr>
          <w:p>
            <w:pPr>
              <w:shd w:val="clear"/>
              <w:spacing w:line="360" w:lineRule="auto"/>
              <w:jc w:val="center"/>
              <w:rPr>
                <w:highlight w:val="none"/>
              </w:rPr>
            </w:pPr>
          </w:p>
        </w:tc>
        <w:tc>
          <w:tcPr>
            <w:tcW w:w="2294" w:type="dxa"/>
            <w:vAlign w:val="center"/>
          </w:tcPr>
          <w:p>
            <w:pPr>
              <w:shd w:val="clear"/>
              <w:adjustRightInd w:val="0"/>
              <w:snapToGrid w:val="0"/>
              <w:jc w:val="center"/>
              <w:rPr>
                <w:highlight w:val="none"/>
              </w:rPr>
            </w:pPr>
            <w:r>
              <w:rPr>
                <w:rFonts w:hint="eastAsia" w:ascii="宋体" w:hAnsi="宋体" w:cs="宋体"/>
                <w:szCs w:val="21"/>
                <w:highlight w:val="none"/>
              </w:rPr>
              <w:t>见《投标文件》第</w:t>
            </w:r>
            <w:r>
              <w:rPr>
                <w:rFonts w:hint="eastAsia" w:ascii="宋体" w:hAnsi="宋体" w:cs="宋体"/>
                <w:szCs w:val="21"/>
                <w:highlight w:val="none"/>
                <w:u w:val="single"/>
              </w:rPr>
              <w:t xml:space="preserve">   </w:t>
            </w:r>
            <w:r>
              <w:rPr>
                <w:rFonts w:hint="eastAsia" w:ascii="宋体" w:hAnsi="宋体" w:cs="宋体"/>
                <w:szCs w:val="21"/>
                <w:highlight w:val="none"/>
              </w:rPr>
              <w:t>页至</w:t>
            </w:r>
            <w:r>
              <w:rPr>
                <w:rFonts w:hint="eastAsia" w:ascii="宋体" w:hAnsi="宋体" w:cs="宋体"/>
                <w:szCs w:val="21"/>
                <w:highlight w:val="none"/>
                <w:u w:val="single"/>
              </w:rPr>
              <w:t xml:space="preserve">   </w:t>
            </w:r>
            <w:r>
              <w:rPr>
                <w:rFonts w:hint="eastAsia" w:ascii="宋体" w:hAnsi="宋体" w:cs="宋体"/>
                <w:szCs w:val="21"/>
                <w:highlight w:val="none"/>
              </w:rPr>
              <w:t>页</w:t>
            </w:r>
          </w:p>
        </w:tc>
        <w:tc>
          <w:tcPr>
            <w:tcW w:w="701" w:type="dxa"/>
          </w:tcPr>
          <w:p>
            <w:pPr>
              <w:shd w:val="clear"/>
              <w:spacing w:line="360" w:lineRule="auto"/>
              <w:jc w:val="center"/>
              <w:rPr>
                <w:highlight w:val="none"/>
              </w:rPr>
            </w:pPr>
          </w:p>
        </w:tc>
        <w:tc>
          <w:tcPr>
            <w:tcW w:w="701" w:type="dxa"/>
          </w:tcPr>
          <w:p>
            <w:pPr>
              <w:shd w:val="clear"/>
              <w:spacing w:line="360" w:lineRule="auto"/>
              <w:jc w:val="center"/>
              <w:rPr>
                <w:highlight w:val="none"/>
              </w:rPr>
            </w:pPr>
          </w:p>
        </w:tc>
        <w:tc>
          <w:tcPr>
            <w:tcW w:w="1786" w:type="dxa"/>
            <w:tcBorders>
              <w:right w:val="single" w:color="auto" w:sz="12" w:space="0"/>
            </w:tcBorders>
            <w:vAlign w:val="center"/>
          </w:tcPr>
          <w:p>
            <w:pPr>
              <w:shd w:val="clear"/>
              <w:spacing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5"/>
              </w:numPr>
              <w:shd w:val="clear"/>
              <w:spacing w:line="360" w:lineRule="auto"/>
              <w:jc w:val="center"/>
              <w:rPr>
                <w:rFonts w:ascii="宋体" w:hAnsi="宋体"/>
                <w:highlight w:val="none"/>
              </w:rPr>
            </w:pPr>
          </w:p>
        </w:tc>
        <w:tc>
          <w:tcPr>
            <w:tcW w:w="2296" w:type="dxa"/>
            <w:vAlign w:val="center"/>
          </w:tcPr>
          <w:p>
            <w:pPr>
              <w:shd w:val="clear"/>
              <w:spacing w:line="360" w:lineRule="auto"/>
              <w:jc w:val="center"/>
              <w:rPr>
                <w:highlight w:val="none"/>
              </w:rPr>
            </w:pPr>
          </w:p>
        </w:tc>
        <w:tc>
          <w:tcPr>
            <w:tcW w:w="1200" w:type="dxa"/>
            <w:vAlign w:val="center"/>
          </w:tcPr>
          <w:p>
            <w:pPr>
              <w:shd w:val="clear"/>
              <w:spacing w:line="360" w:lineRule="auto"/>
              <w:jc w:val="center"/>
              <w:rPr>
                <w:highlight w:val="none"/>
              </w:rPr>
            </w:pPr>
          </w:p>
        </w:tc>
        <w:tc>
          <w:tcPr>
            <w:tcW w:w="2294" w:type="dxa"/>
            <w:vAlign w:val="center"/>
          </w:tcPr>
          <w:p>
            <w:pPr>
              <w:shd w:val="clear"/>
              <w:adjustRightInd w:val="0"/>
              <w:snapToGrid w:val="0"/>
              <w:jc w:val="center"/>
              <w:rPr>
                <w:highlight w:val="none"/>
              </w:rPr>
            </w:pPr>
            <w:r>
              <w:rPr>
                <w:rFonts w:hint="eastAsia" w:ascii="宋体" w:hAnsi="宋体" w:cs="宋体"/>
                <w:szCs w:val="21"/>
                <w:highlight w:val="none"/>
              </w:rPr>
              <w:t>见《投标文件》第</w:t>
            </w:r>
            <w:r>
              <w:rPr>
                <w:rFonts w:hint="eastAsia" w:ascii="宋体" w:hAnsi="宋体" w:cs="宋体"/>
                <w:szCs w:val="21"/>
                <w:highlight w:val="none"/>
                <w:u w:val="single"/>
              </w:rPr>
              <w:t xml:space="preserve">   </w:t>
            </w:r>
            <w:r>
              <w:rPr>
                <w:rFonts w:hint="eastAsia" w:ascii="宋体" w:hAnsi="宋体" w:cs="宋体"/>
                <w:szCs w:val="21"/>
                <w:highlight w:val="none"/>
              </w:rPr>
              <w:t>页至</w:t>
            </w:r>
            <w:r>
              <w:rPr>
                <w:rFonts w:hint="eastAsia" w:ascii="宋体" w:hAnsi="宋体" w:cs="宋体"/>
                <w:szCs w:val="21"/>
                <w:highlight w:val="none"/>
                <w:u w:val="single"/>
              </w:rPr>
              <w:t xml:space="preserve">   </w:t>
            </w:r>
            <w:r>
              <w:rPr>
                <w:rFonts w:hint="eastAsia" w:ascii="宋体" w:hAnsi="宋体" w:cs="宋体"/>
                <w:szCs w:val="21"/>
                <w:highlight w:val="none"/>
              </w:rPr>
              <w:t>页</w:t>
            </w:r>
          </w:p>
        </w:tc>
        <w:tc>
          <w:tcPr>
            <w:tcW w:w="701" w:type="dxa"/>
          </w:tcPr>
          <w:p>
            <w:pPr>
              <w:shd w:val="clear"/>
              <w:spacing w:line="360" w:lineRule="auto"/>
              <w:jc w:val="center"/>
              <w:rPr>
                <w:highlight w:val="none"/>
              </w:rPr>
            </w:pPr>
          </w:p>
        </w:tc>
        <w:tc>
          <w:tcPr>
            <w:tcW w:w="701" w:type="dxa"/>
          </w:tcPr>
          <w:p>
            <w:pPr>
              <w:shd w:val="clear"/>
              <w:spacing w:line="360" w:lineRule="auto"/>
              <w:jc w:val="center"/>
              <w:rPr>
                <w:highlight w:val="none"/>
              </w:rPr>
            </w:pPr>
          </w:p>
        </w:tc>
        <w:tc>
          <w:tcPr>
            <w:tcW w:w="1786" w:type="dxa"/>
            <w:tcBorders>
              <w:right w:val="single" w:color="auto" w:sz="12" w:space="0"/>
            </w:tcBorders>
            <w:vAlign w:val="center"/>
          </w:tcPr>
          <w:p>
            <w:pPr>
              <w:shd w:val="clear"/>
              <w:spacing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5"/>
              </w:numPr>
              <w:shd w:val="clear"/>
              <w:spacing w:line="360" w:lineRule="auto"/>
              <w:jc w:val="center"/>
              <w:rPr>
                <w:rFonts w:ascii="宋体" w:hAnsi="宋体"/>
                <w:highlight w:val="none"/>
              </w:rPr>
            </w:pPr>
          </w:p>
        </w:tc>
        <w:tc>
          <w:tcPr>
            <w:tcW w:w="2296" w:type="dxa"/>
            <w:vAlign w:val="center"/>
          </w:tcPr>
          <w:p>
            <w:pPr>
              <w:shd w:val="clear"/>
              <w:spacing w:line="360" w:lineRule="auto"/>
              <w:jc w:val="center"/>
              <w:rPr>
                <w:highlight w:val="none"/>
              </w:rPr>
            </w:pPr>
          </w:p>
        </w:tc>
        <w:tc>
          <w:tcPr>
            <w:tcW w:w="1200" w:type="dxa"/>
            <w:vAlign w:val="center"/>
          </w:tcPr>
          <w:p>
            <w:pPr>
              <w:shd w:val="clear"/>
              <w:spacing w:line="360" w:lineRule="auto"/>
              <w:jc w:val="center"/>
              <w:rPr>
                <w:highlight w:val="none"/>
              </w:rPr>
            </w:pPr>
          </w:p>
        </w:tc>
        <w:tc>
          <w:tcPr>
            <w:tcW w:w="2294" w:type="dxa"/>
            <w:vAlign w:val="center"/>
          </w:tcPr>
          <w:p>
            <w:pPr>
              <w:shd w:val="clear"/>
              <w:adjustRightInd w:val="0"/>
              <w:snapToGrid w:val="0"/>
              <w:jc w:val="center"/>
              <w:rPr>
                <w:highlight w:val="none"/>
              </w:rPr>
            </w:pPr>
            <w:r>
              <w:rPr>
                <w:rFonts w:hint="eastAsia" w:ascii="宋体" w:hAnsi="宋体" w:cs="宋体"/>
                <w:szCs w:val="21"/>
                <w:highlight w:val="none"/>
              </w:rPr>
              <w:t>见《投标文件》第</w:t>
            </w:r>
            <w:r>
              <w:rPr>
                <w:rFonts w:hint="eastAsia" w:ascii="宋体" w:hAnsi="宋体" w:cs="宋体"/>
                <w:szCs w:val="21"/>
                <w:highlight w:val="none"/>
                <w:u w:val="single"/>
              </w:rPr>
              <w:t xml:space="preserve">   </w:t>
            </w:r>
            <w:r>
              <w:rPr>
                <w:rFonts w:hint="eastAsia" w:ascii="宋体" w:hAnsi="宋体" w:cs="宋体"/>
                <w:szCs w:val="21"/>
                <w:highlight w:val="none"/>
              </w:rPr>
              <w:t>页至</w:t>
            </w:r>
            <w:r>
              <w:rPr>
                <w:rFonts w:hint="eastAsia" w:ascii="宋体" w:hAnsi="宋体" w:cs="宋体"/>
                <w:szCs w:val="21"/>
                <w:highlight w:val="none"/>
                <w:u w:val="single"/>
              </w:rPr>
              <w:t xml:space="preserve">   </w:t>
            </w:r>
            <w:r>
              <w:rPr>
                <w:rFonts w:hint="eastAsia" w:ascii="宋体" w:hAnsi="宋体" w:cs="宋体"/>
                <w:szCs w:val="21"/>
                <w:highlight w:val="none"/>
              </w:rPr>
              <w:t>页</w:t>
            </w:r>
          </w:p>
        </w:tc>
        <w:tc>
          <w:tcPr>
            <w:tcW w:w="701" w:type="dxa"/>
          </w:tcPr>
          <w:p>
            <w:pPr>
              <w:shd w:val="clear"/>
              <w:spacing w:line="360" w:lineRule="auto"/>
              <w:jc w:val="center"/>
              <w:rPr>
                <w:highlight w:val="none"/>
              </w:rPr>
            </w:pPr>
          </w:p>
        </w:tc>
        <w:tc>
          <w:tcPr>
            <w:tcW w:w="701" w:type="dxa"/>
          </w:tcPr>
          <w:p>
            <w:pPr>
              <w:shd w:val="clear"/>
              <w:spacing w:line="360" w:lineRule="auto"/>
              <w:jc w:val="center"/>
              <w:rPr>
                <w:highlight w:val="none"/>
              </w:rPr>
            </w:pPr>
          </w:p>
        </w:tc>
        <w:tc>
          <w:tcPr>
            <w:tcW w:w="1786" w:type="dxa"/>
            <w:tcBorders>
              <w:right w:val="single" w:color="auto" w:sz="12" w:space="0"/>
            </w:tcBorders>
            <w:vAlign w:val="center"/>
          </w:tcPr>
          <w:p>
            <w:pPr>
              <w:shd w:val="clear"/>
              <w:spacing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5"/>
              </w:numPr>
              <w:shd w:val="clear"/>
              <w:spacing w:line="360" w:lineRule="auto"/>
              <w:jc w:val="center"/>
              <w:rPr>
                <w:rFonts w:ascii="宋体" w:hAnsi="宋体"/>
                <w:highlight w:val="none"/>
              </w:rPr>
            </w:pPr>
          </w:p>
        </w:tc>
        <w:tc>
          <w:tcPr>
            <w:tcW w:w="2296" w:type="dxa"/>
            <w:vAlign w:val="center"/>
          </w:tcPr>
          <w:p>
            <w:pPr>
              <w:shd w:val="clear"/>
              <w:spacing w:line="360" w:lineRule="auto"/>
              <w:jc w:val="center"/>
              <w:rPr>
                <w:highlight w:val="none"/>
              </w:rPr>
            </w:pPr>
          </w:p>
        </w:tc>
        <w:tc>
          <w:tcPr>
            <w:tcW w:w="1200" w:type="dxa"/>
            <w:vAlign w:val="center"/>
          </w:tcPr>
          <w:p>
            <w:pPr>
              <w:shd w:val="clear"/>
              <w:spacing w:line="360" w:lineRule="auto"/>
              <w:jc w:val="center"/>
              <w:rPr>
                <w:highlight w:val="none"/>
              </w:rPr>
            </w:pPr>
          </w:p>
        </w:tc>
        <w:tc>
          <w:tcPr>
            <w:tcW w:w="2294" w:type="dxa"/>
            <w:vAlign w:val="center"/>
          </w:tcPr>
          <w:p>
            <w:pPr>
              <w:shd w:val="clear"/>
              <w:adjustRightInd w:val="0"/>
              <w:snapToGrid w:val="0"/>
              <w:jc w:val="center"/>
              <w:rPr>
                <w:highlight w:val="none"/>
              </w:rPr>
            </w:pPr>
            <w:r>
              <w:rPr>
                <w:rFonts w:hint="eastAsia" w:ascii="宋体" w:hAnsi="宋体" w:cs="宋体"/>
                <w:szCs w:val="21"/>
                <w:highlight w:val="none"/>
              </w:rPr>
              <w:t>见《投标文件》第</w:t>
            </w:r>
            <w:r>
              <w:rPr>
                <w:rFonts w:hint="eastAsia" w:ascii="宋体" w:hAnsi="宋体" w:cs="宋体"/>
                <w:szCs w:val="21"/>
                <w:highlight w:val="none"/>
                <w:u w:val="single"/>
              </w:rPr>
              <w:t xml:space="preserve">   </w:t>
            </w:r>
            <w:r>
              <w:rPr>
                <w:rFonts w:hint="eastAsia" w:ascii="宋体" w:hAnsi="宋体" w:cs="宋体"/>
                <w:szCs w:val="21"/>
                <w:highlight w:val="none"/>
              </w:rPr>
              <w:t>页至</w:t>
            </w:r>
            <w:r>
              <w:rPr>
                <w:rFonts w:hint="eastAsia" w:ascii="宋体" w:hAnsi="宋体" w:cs="宋体"/>
                <w:szCs w:val="21"/>
                <w:highlight w:val="none"/>
                <w:u w:val="single"/>
              </w:rPr>
              <w:t xml:space="preserve">   </w:t>
            </w:r>
            <w:r>
              <w:rPr>
                <w:rFonts w:hint="eastAsia" w:ascii="宋体" w:hAnsi="宋体" w:cs="宋体"/>
                <w:szCs w:val="21"/>
                <w:highlight w:val="none"/>
              </w:rPr>
              <w:t>页</w:t>
            </w:r>
          </w:p>
        </w:tc>
        <w:tc>
          <w:tcPr>
            <w:tcW w:w="701" w:type="dxa"/>
          </w:tcPr>
          <w:p>
            <w:pPr>
              <w:shd w:val="clear"/>
              <w:spacing w:line="360" w:lineRule="auto"/>
              <w:jc w:val="center"/>
              <w:rPr>
                <w:highlight w:val="none"/>
              </w:rPr>
            </w:pPr>
          </w:p>
        </w:tc>
        <w:tc>
          <w:tcPr>
            <w:tcW w:w="701" w:type="dxa"/>
          </w:tcPr>
          <w:p>
            <w:pPr>
              <w:shd w:val="clear"/>
              <w:spacing w:line="360" w:lineRule="auto"/>
              <w:jc w:val="center"/>
              <w:rPr>
                <w:highlight w:val="none"/>
              </w:rPr>
            </w:pPr>
          </w:p>
        </w:tc>
        <w:tc>
          <w:tcPr>
            <w:tcW w:w="1786" w:type="dxa"/>
            <w:tcBorders>
              <w:right w:val="single" w:color="auto" w:sz="12" w:space="0"/>
            </w:tcBorders>
            <w:vAlign w:val="center"/>
          </w:tcPr>
          <w:p>
            <w:pPr>
              <w:shd w:val="clear"/>
              <w:spacing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5"/>
              </w:numPr>
              <w:shd w:val="clear"/>
              <w:spacing w:line="360" w:lineRule="auto"/>
              <w:jc w:val="center"/>
              <w:rPr>
                <w:rFonts w:ascii="宋体" w:hAnsi="宋体"/>
                <w:highlight w:val="none"/>
              </w:rPr>
            </w:pPr>
          </w:p>
        </w:tc>
        <w:tc>
          <w:tcPr>
            <w:tcW w:w="2296" w:type="dxa"/>
            <w:vAlign w:val="center"/>
          </w:tcPr>
          <w:p>
            <w:pPr>
              <w:shd w:val="clear"/>
              <w:spacing w:line="360" w:lineRule="auto"/>
              <w:jc w:val="center"/>
              <w:rPr>
                <w:highlight w:val="none"/>
              </w:rPr>
            </w:pPr>
          </w:p>
        </w:tc>
        <w:tc>
          <w:tcPr>
            <w:tcW w:w="1200" w:type="dxa"/>
            <w:vAlign w:val="center"/>
          </w:tcPr>
          <w:p>
            <w:pPr>
              <w:shd w:val="clear"/>
              <w:spacing w:line="360" w:lineRule="auto"/>
              <w:jc w:val="center"/>
              <w:rPr>
                <w:highlight w:val="none"/>
              </w:rPr>
            </w:pPr>
          </w:p>
        </w:tc>
        <w:tc>
          <w:tcPr>
            <w:tcW w:w="2294" w:type="dxa"/>
            <w:vAlign w:val="center"/>
          </w:tcPr>
          <w:p>
            <w:pPr>
              <w:shd w:val="clear"/>
              <w:adjustRightInd w:val="0"/>
              <w:snapToGrid w:val="0"/>
              <w:jc w:val="center"/>
              <w:rPr>
                <w:highlight w:val="none"/>
              </w:rPr>
            </w:pPr>
            <w:r>
              <w:rPr>
                <w:rFonts w:hint="eastAsia" w:ascii="宋体" w:hAnsi="宋体" w:cs="宋体"/>
                <w:szCs w:val="21"/>
                <w:highlight w:val="none"/>
              </w:rPr>
              <w:t>见《投标文件》第</w:t>
            </w:r>
            <w:r>
              <w:rPr>
                <w:rFonts w:hint="eastAsia" w:ascii="宋体" w:hAnsi="宋体" w:cs="宋体"/>
                <w:szCs w:val="21"/>
                <w:highlight w:val="none"/>
                <w:u w:val="single"/>
              </w:rPr>
              <w:t xml:space="preserve">   </w:t>
            </w:r>
            <w:r>
              <w:rPr>
                <w:rFonts w:hint="eastAsia" w:ascii="宋体" w:hAnsi="宋体" w:cs="宋体"/>
                <w:szCs w:val="21"/>
                <w:highlight w:val="none"/>
              </w:rPr>
              <w:t>页至</w:t>
            </w:r>
            <w:r>
              <w:rPr>
                <w:rFonts w:hint="eastAsia" w:ascii="宋体" w:hAnsi="宋体" w:cs="宋体"/>
                <w:szCs w:val="21"/>
                <w:highlight w:val="none"/>
                <w:u w:val="single"/>
              </w:rPr>
              <w:t xml:space="preserve">   </w:t>
            </w:r>
            <w:r>
              <w:rPr>
                <w:rFonts w:hint="eastAsia" w:ascii="宋体" w:hAnsi="宋体" w:cs="宋体"/>
                <w:szCs w:val="21"/>
                <w:highlight w:val="none"/>
              </w:rPr>
              <w:t>页</w:t>
            </w:r>
          </w:p>
        </w:tc>
        <w:tc>
          <w:tcPr>
            <w:tcW w:w="701" w:type="dxa"/>
          </w:tcPr>
          <w:p>
            <w:pPr>
              <w:shd w:val="clear"/>
              <w:spacing w:line="360" w:lineRule="auto"/>
              <w:jc w:val="center"/>
              <w:rPr>
                <w:highlight w:val="none"/>
              </w:rPr>
            </w:pPr>
          </w:p>
        </w:tc>
        <w:tc>
          <w:tcPr>
            <w:tcW w:w="701" w:type="dxa"/>
          </w:tcPr>
          <w:p>
            <w:pPr>
              <w:shd w:val="clear"/>
              <w:spacing w:line="360" w:lineRule="auto"/>
              <w:jc w:val="center"/>
              <w:rPr>
                <w:highlight w:val="none"/>
              </w:rPr>
            </w:pPr>
          </w:p>
        </w:tc>
        <w:tc>
          <w:tcPr>
            <w:tcW w:w="1786" w:type="dxa"/>
            <w:tcBorders>
              <w:right w:val="single" w:color="auto" w:sz="12" w:space="0"/>
            </w:tcBorders>
            <w:vAlign w:val="center"/>
          </w:tcPr>
          <w:p>
            <w:pPr>
              <w:shd w:val="clear"/>
              <w:spacing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5"/>
              </w:numPr>
              <w:shd w:val="clear"/>
              <w:spacing w:line="360" w:lineRule="auto"/>
              <w:jc w:val="center"/>
              <w:rPr>
                <w:rFonts w:ascii="宋体" w:hAnsi="宋体"/>
                <w:highlight w:val="none"/>
              </w:rPr>
            </w:pPr>
          </w:p>
        </w:tc>
        <w:tc>
          <w:tcPr>
            <w:tcW w:w="2296" w:type="dxa"/>
            <w:vAlign w:val="center"/>
          </w:tcPr>
          <w:p>
            <w:pPr>
              <w:shd w:val="clear"/>
              <w:spacing w:line="360" w:lineRule="auto"/>
              <w:jc w:val="center"/>
              <w:rPr>
                <w:highlight w:val="none"/>
              </w:rPr>
            </w:pPr>
          </w:p>
        </w:tc>
        <w:tc>
          <w:tcPr>
            <w:tcW w:w="1200" w:type="dxa"/>
            <w:vAlign w:val="center"/>
          </w:tcPr>
          <w:p>
            <w:pPr>
              <w:shd w:val="clear"/>
              <w:spacing w:line="360" w:lineRule="auto"/>
              <w:jc w:val="center"/>
              <w:rPr>
                <w:highlight w:val="none"/>
              </w:rPr>
            </w:pPr>
          </w:p>
        </w:tc>
        <w:tc>
          <w:tcPr>
            <w:tcW w:w="2294" w:type="dxa"/>
            <w:vAlign w:val="center"/>
          </w:tcPr>
          <w:p>
            <w:pPr>
              <w:shd w:val="clear"/>
              <w:adjustRightInd w:val="0"/>
              <w:snapToGrid w:val="0"/>
              <w:jc w:val="center"/>
              <w:rPr>
                <w:highlight w:val="none"/>
              </w:rPr>
            </w:pPr>
            <w:r>
              <w:rPr>
                <w:rFonts w:hint="eastAsia" w:ascii="宋体" w:hAnsi="宋体" w:cs="宋体"/>
                <w:szCs w:val="21"/>
                <w:highlight w:val="none"/>
              </w:rPr>
              <w:t>见《投标文件》第</w:t>
            </w:r>
            <w:r>
              <w:rPr>
                <w:rFonts w:hint="eastAsia" w:ascii="宋体" w:hAnsi="宋体" w:cs="宋体"/>
                <w:szCs w:val="21"/>
                <w:highlight w:val="none"/>
                <w:u w:val="single"/>
              </w:rPr>
              <w:t xml:space="preserve">   </w:t>
            </w:r>
            <w:r>
              <w:rPr>
                <w:rFonts w:hint="eastAsia" w:ascii="宋体" w:hAnsi="宋体" w:cs="宋体"/>
                <w:szCs w:val="21"/>
                <w:highlight w:val="none"/>
              </w:rPr>
              <w:t>页至</w:t>
            </w:r>
            <w:r>
              <w:rPr>
                <w:rFonts w:hint="eastAsia" w:ascii="宋体" w:hAnsi="宋体" w:cs="宋体"/>
                <w:szCs w:val="21"/>
                <w:highlight w:val="none"/>
                <w:u w:val="single"/>
              </w:rPr>
              <w:t xml:space="preserve">   </w:t>
            </w:r>
            <w:r>
              <w:rPr>
                <w:rFonts w:hint="eastAsia" w:ascii="宋体" w:hAnsi="宋体" w:cs="宋体"/>
                <w:szCs w:val="21"/>
                <w:highlight w:val="none"/>
              </w:rPr>
              <w:t>页</w:t>
            </w:r>
          </w:p>
        </w:tc>
        <w:tc>
          <w:tcPr>
            <w:tcW w:w="701" w:type="dxa"/>
          </w:tcPr>
          <w:p>
            <w:pPr>
              <w:shd w:val="clear"/>
              <w:spacing w:line="360" w:lineRule="auto"/>
              <w:jc w:val="center"/>
              <w:rPr>
                <w:highlight w:val="none"/>
              </w:rPr>
            </w:pPr>
          </w:p>
        </w:tc>
        <w:tc>
          <w:tcPr>
            <w:tcW w:w="701" w:type="dxa"/>
          </w:tcPr>
          <w:p>
            <w:pPr>
              <w:shd w:val="clear"/>
              <w:spacing w:line="360" w:lineRule="auto"/>
              <w:jc w:val="center"/>
              <w:rPr>
                <w:highlight w:val="none"/>
              </w:rPr>
            </w:pPr>
          </w:p>
        </w:tc>
        <w:tc>
          <w:tcPr>
            <w:tcW w:w="1786" w:type="dxa"/>
            <w:tcBorders>
              <w:right w:val="single" w:color="auto" w:sz="12" w:space="0"/>
            </w:tcBorders>
            <w:vAlign w:val="center"/>
          </w:tcPr>
          <w:p>
            <w:pPr>
              <w:shd w:val="clear"/>
              <w:spacing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5"/>
              </w:numPr>
              <w:shd w:val="clear"/>
              <w:spacing w:line="360" w:lineRule="auto"/>
              <w:jc w:val="center"/>
              <w:rPr>
                <w:rFonts w:ascii="宋体" w:hAnsi="宋体"/>
                <w:highlight w:val="none"/>
              </w:rPr>
            </w:pPr>
          </w:p>
        </w:tc>
        <w:tc>
          <w:tcPr>
            <w:tcW w:w="2296" w:type="dxa"/>
            <w:vAlign w:val="center"/>
          </w:tcPr>
          <w:p>
            <w:pPr>
              <w:shd w:val="clear"/>
              <w:spacing w:line="360" w:lineRule="auto"/>
              <w:jc w:val="center"/>
              <w:rPr>
                <w:highlight w:val="none"/>
              </w:rPr>
            </w:pPr>
          </w:p>
        </w:tc>
        <w:tc>
          <w:tcPr>
            <w:tcW w:w="1200" w:type="dxa"/>
            <w:vAlign w:val="center"/>
          </w:tcPr>
          <w:p>
            <w:pPr>
              <w:shd w:val="clear"/>
              <w:spacing w:line="360" w:lineRule="auto"/>
              <w:jc w:val="center"/>
              <w:rPr>
                <w:highlight w:val="none"/>
              </w:rPr>
            </w:pPr>
          </w:p>
        </w:tc>
        <w:tc>
          <w:tcPr>
            <w:tcW w:w="2294" w:type="dxa"/>
            <w:vAlign w:val="center"/>
          </w:tcPr>
          <w:p>
            <w:pPr>
              <w:shd w:val="clear"/>
              <w:adjustRightInd w:val="0"/>
              <w:snapToGrid w:val="0"/>
              <w:jc w:val="center"/>
              <w:rPr>
                <w:highlight w:val="none"/>
              </w:rPr>
            </w:pPr>
            <w:r>
              <w:rPr>
                <w:rFonts w:hint="eastAsia" w:ascii="宋体" w:hAnsi="宋体" w:cs="宋体"/>
                <w:szCs w:val="21"/>
                <w:highlight w:val="none"/>
              </w:rPr>
              <w:t>见《投标文件》第</w:t>
            </w:r>
            <w:r>
              <w:rPr>
                <w:rFonts w:hint="eastAsia" w:ascii="宋体" w:hAnsi="宋体" w:cs="宋体"/>
                <w:szCs w:val="21"/>
                <w:highlight w:val="none"/>
                <w:u w:val="single"/>
              </w:rPr>
              <w:t xml:space="preserve">   </w:t>
            </w:r>
            <w:r>
              <w:rPr>
                <w:rFonts w:hint="eastAsia" w:ascii="宋体" w:hAnsi="宋体" w:cs="宋体"/>
                <w:szCs w:val="21"/>
                <w:highlight w:val="none"/>
              </w:rPr>
              <w:t>页至</w:t>
            </w:r>
            <w:r>
              <w:rPr>
                <w:rFonts w:hint="eastAsia" w:ascii="宋体" w:hAnsi="宋体" w:cs="宋体"/>
                <w:szCs w:val="21"/>
                <w:highlight w:val="none"/>
                <w:u w:val="single"/>
              </w:rPr>
              <w:t xml:space="preserve">   </w:t>
            </w:r>
            <w:r>
              <w:rPr>
                <w:rFonts w:hint="eastAsia" w:ascii="宋体" w:hAnsi="宋体" w:cs="宋体"/>
                <w:szCs w:val="21"/>
                <w:highlight w:val="none"/>
              </w:rPr>
              <w:t>页</w:t>
            </w:r>
          </w:p>
        </w:tc>
        <w:tc>
          <w:tcPr>
            <w:tcW w:w="701" w:type="dxa"/>
          </w:tcPr>
          <w:p>
            <w:pPr>
              <w:shd w:val="clear"/>
              <w:spacing w:line="360" w:lineRule="auto"/>
              <w:jc w:val="center"/>
              <w:rPr>
                <w:highlight w:val="none"/>
              </w:rPr>
            </w:pPr>
          </w:p>
        </w:tc>
        <w:tc>
          <w:tcPr>
            <w:tcW w:w="701" w:type="dxa"/>
          </w:tcPr>
          <w:p>
            <w:pPr>
              <w:shd w:val="clear"/>
              <w:spacing w:line="360" w:lineRule="auto"/>
              <w:jc w:val="center"/>
              <w:rPr>
                <w:highlight w:val="none"/>
              </w:rPr>
            </w:pPr>
          </w:p>
        </w:tc>
        <w:tc>
          <w:tcPr>
            <w:tcW w:w="1786" w:type="dxa"/>
            <w:tcBorders>
              <w:right w:val="single" w:color="auto" w:sz="12" w:space="0"/>
            </w:tcBorders>
            <w:vAlign w:val="center"/>
          </w:tcPr>
          <w:p>
            <w:pPr>
              <w:shd w:val="clear"/>
              <w:spacing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bottom w:val="single" w:color="auto" w:sz="12" w:space="0"/>
            </w:tcBorders>
            <w:vAlign w:val="center"/>
          </w:tcPr>
          <w:p>
            <w:pPr>
              <w:numPr>
                <w:ilvl w:val="0"/>
                <w:numId w:val="165"/>
              </w:numPr>
              <w:shd w:val="clear"/>
              <w:spacing w:line="360" w:lineRule="auto"/>
              <w:jc w:val="center"/>
              <w:rPr>
                <w:rFonts w:ascii="宋体" w:hAnsi="宋体"/>
                <w:highlight w:val="none"/>
              </w:rPr>
            </w:pPr>
          </w:p>
        </w:tc>
        <w:tc>
          <w:tcPr>
            <w:tcW w:w="2296" w:type="dxa"/>
            <w:tcBorders>
              <w:bottom w:val="single" w:color="auto" w:sz="12" w:space="0"/>
            </w:tcBorders>
            <w:vAlign w:val="center"/>
          </w:tcPr>
          <w:p>
            <w:pPr>
              <w:shd w:val="clear"/>
              <w:spacing w:line="360" w:lineRule="auto"/>
              <w:jc w:val="center"/>
              <w:rPr>
                <w:highlight w:val="none"/>
              </w:rPr>
            </w:pPr>
          </w:p>
        </w:tc>
        <w:tc>
          <w:tcPr>
            <w:tcW w:w="1200" w:type="dxa"/>
            <w:tcBorders>
              <w:bottom w:val="single" w:color="auto" w:sz="12" w:space="0"/>
            </w:tcBorders>
            <w:vAlign w:val="center"/>
          </w:tcPr>
          <w:p>
            <w:pPr>
              <w:shd w:val="clear"/>
              <w:spacing w:line="360" w:lineRule="auto"/>
              <w:jc w:val="center"/>
              <w:rPr>
                <w:highlight w:val="none"/>
              </w:rPr>
            </w:pPr>
          </w:p>
        </w:tc>
        <w:tc>
          <w:tcPr>
            <w:tcW w:w="2294" w:type="dxa"/>
            <w:tcBorders>
              <w:bottom w:val="single" w:color="auto" w:sz="12" w:space="0"/>
            </w:tcBorders>
            <w:vAlign w:val="center"/>
          </w:tcPr>
          <w:p>
            <w:pPr>
              <w:shd w:val="clear"/>
              <w:adjustRightInd w:val="0"/>
              <w:snapToGrid w:val="0"/>
              <w:jc w:val="center"/>
              <w:rPr>
                <w:highlight w:val="none"/>
              </w:rPr>
            </w:pPr>
            <w:r>
              <w:rPr>
                <w:rFonts w:hint="eastAsia" w:ascii="宋体" w:hAnsi="宋体" w:cs="宋体"/>
                <w:szCs w:val="21"/>
                <w:highlight w:val="none"/>
              </w:rPr>
              <w:t>见《投标文件》第</w:t>
            </w:r>
            <w:r>
              <w:rPr>
                <w:rFonts w:hint="eastAsia" w:ascii="宋体" w:hAnsi="宋体" w:cs="宋体"/>
                <w:szCs w:val="21"/>
                <w:highlight w:val="none"/>
                <w:u w:val="single"/>
              </w:rPr>
              <w:t xml:space="preserve">   </w:t>
            </w:r>
            <w:r>
              <w:rPr>
                <w:rFonts w:hint="eastAsia" w:ascii="宋体" w:hAnsi="宋体" w:cs="宋体"/>
                <w:szCs w:val="21"/>
                <w:highlight w:val="none"/>
              </w:rPr>
              <w:t>页至</w:t>
            </w:r>
            <w:r>
              <w:rPr>
                <w:rFonts w:hint="eastAsia" w:ascii="宋体" w:hAnsi="宋体" w:cs="宋体"/>
                <w:szCs w:val="21"/>
                <w:highlight w:val="none"/>
                <w:u w:val="single"/>
              </w:rPr>
              <w:t xml:space="preserve">   </w:t>
            </w:r>
            <w:r>
              <w:rPr>
                <w:rFonts w:hint="eastAsia" w:ascii="宋体" w:hAnsi="宋体" w:cs="宋体"/>
                <w:szCs w:val="21"/>
                <w:highlight w:val="none"/>
              </w:rPr>
              <w:t>页</w:t>
            </w:r>
          </w:p>
        </w:tc>
        <w:tc>
          <w:tcPr>
            <w:tcW w:w="701" w:type="dxa"/>
            <w:tcBorders>
              <w:bottom w:val="single" w:color="auto" w:sz="12" w:space="0"/>
            </w:tcBorders>
          </w:tcPr>
          <w:p>
            <w:pPr>
              <w:shd w:val="clear"/>
              <w:spacing w:line="360" w:lineRule="auto"/>
              <w:jc w:val="center"/>
              <w:rPr>
                <w:highlight w:val="none"/>
              </w:rPr>
            </w:pPr>
          </w:p>
        </w:tc>
        <w:tc>
          <w:tcPr>
            <w:tcW w:w="701" w:type="dxa"/>
            <w:tcBorders>
              <w:bottom w:val="single" w:color="auto" w:sz="12" w:space="0"/>
            </w:tcBorders>
          </w:tcPr>
          <w:p>
            <w:pPr>
              <w:shd w:val="clear"/>
              <w:spacing w:line="360" w:lineRule="auto"/>
              <w:jc w:val="center"/>
              <w:rPr>
                <w:highlight w:val="none"/>
              </w:rPr>
            </w:pPr>
          </w:p>
        </w:tc>
        <w:tc>
          <w:tcPr>
            <w:tcW w:w="1786" w:type="dxa"/>
            <w:tcBorders>
              <w:bottom w:val="single" w:color="auto" w:sz="12" w:space="0"/>
              <w:right w:val="single" w:color="auto" w:sz="12" w:space="0"/>
            </w:tcBorders>
            <w:vAlign w:val="center"/>
          </w:tcPr>
          <w:p>
            <w:pPr>
              <w:shd w:val="clear"/>
              <w:spacing w:line="360" w:lineRule="auto"/>
              <w:jc w:val="center"/>
              <w:rPr>
                <w:highlight w:val="none"/>
              </w:rPr>
            </w:pPr>
          </w:p>
        </w:tc>
      </w:tr>
    </w:tbl>
    <w:p>
      <w:pPr>
        <w:shd w:val="clear"/>
        <w:spacing w:line="360" w:lineRule="auto"/>
        <w:ind w:left="420"/>
        <w:rPr>
          <w:b/>
          <w:highlight w:val="none"/>
        </w:rPr>
      </w:pPr>
      <w:r>
        <w:rPr>
          <w:rFonts w:hint="eastAsia"/>
          <w:b/>
          <w:highlight w:val="none"/>
        </w:rPr>
        <w:t>备注：</w:t>
      </w:r>
    </w:p>
    <w:p>
      <w:pPr>
        <w:numPr>
          <w:ilvl w:val="0"/>
          <w:numId w:val="166"/>
        </w:numPr>
        <w:shd w:val="clear"/>
        <w:spacing w:line="360" w:lineRule="auto"/>
        <w:rPr>
          <w:rFonts w:ascii="宋体" w:hAnsi="宋体" w:cs="宋体"/>
          <w:b/>
          <w:highlight w:val="none"/>
        </w:rPr>
      </w:pPr>
      <w:r>
        <w:rPr>
          <w:rFonts w:hint="eastAsia" w:ascii="宋体" w:hAnsi="宋体" w:cs="宋体"/>
          <w:b/>
          <w:highlight w:val="none"/>
        </w:rPr>
        <w:t>本表中的“对应投标文件页码”栏填写相应的复印件所在投标文件中的页码范围，以便评审时核对。</w:t>
      </w:r>
    </w:p>
    <w:p>
      <w:pPr>
        <w:numPr>
          <w:ilvl w:val="0"/>
          <w:numId w:val="166"/>
        </w:numPr>
        <w:shd w:val="clear"/>
        <w:spacing w:line="360" w:lineRule="auto"/>
        <w:rPr>
          <w:rFonts w:ascii="宋体" w:hAnsi="宋体" w:cs="宋体"/>
          <w:b/>
          <w:highlight w:val="none"/>
        </w:rPr>
      </w:pPr>
      <w:r>
        <w:rPr>
          <w:rFonts w:hint="eastAsia" w:ascii="宋体" w:hAnsi="宋体" w:cs="宋体"/>
          <w:b/>
          <w:highlight w:val="none"/>
        </w:rPr>
        <w:t>所有拟提交备查的原件应装在一个带锁扣或绳扣的文件袋（牛皮纸质或塑料材质均可）内并附列清单明细一式两份，以便交接时核对。</w:t>
      </w:r>
    </w:p>
    <w:p>
      <w:pPr>
        <w:numPr>
          <w:ilvl w:val="0"/>
          <w:numId w:val="166"/>
        </w:numPr>
        <w:shd w:val="clear"/>
        <w:spacing w:line="360" w:lineRule="auto"/>
        <w:rPr>
          <w:rFonts w:ascii="宋体" w:hAnsi="宋体" w:cs="宋体"/>
          <w:b/>
          <w:highlight w:val="none"/>
        </w:rPr>
      </w:pPr>
      <w:r>
        <w:rPr>
          <w:rFonts w:hint="eastAsia" w:ascii="宋体" w:hAnsi="宋体" w:cs="宋体"/>
          <w:b/>
          <w:highlight w:val="none"/>
          <w:u w:val="double"/>
        </w:rPr>
        <w:t>评审内容中所要求提交“原件”的应独立封装，并内附“资料原件提交清单”（详见第七章投标文件格式），评标结束当日退回，如未提供原件的，该项评分为0分。“资料原件提交清单”请按要求提交，如因未提交产生的不利影响，由投标人自行承担。</w:t>
      </w:r>
    </w:p>
    <w:p>
      <w:pPr>
        <w:shd w:val="clear"/>
        <w:spacing w:line="360" w:lineRule="auto"/>
        <w:ind w:left="420"/>
        <w:rPr>
          <w:b/>
          <w:highlight w:val="none"/>
        </w:rPr>
      </w:pPr>
    </w:p>
    <w:p>
      <w:pPr>
        <w:shd w:val="clear"/>
        <w:spacing w:line="500" w:lineRule="exact"/>
        <w:rPr>
          <w:rFonts w:ascii="宋体" w:hAnsi="宋体"/>
          <w:highlight w:val="none"/>
          <w:u w:val="single"/>
        </w:rPr>
      </w:pPr>
      <w:r>
        <w:rPr>
          <w:rFonts w:hint="eastAsia"/>
          <w:spacing w:val="4"/>
          <w:highlight w:val="none"/>
        </w:rPr>
        <w:t>投标人名称（盖公章）：</w:t>
      </w:r>
      <w:r>
        <w:rPr>
          <w:rFonts w:hint="eastAsia"/>
          <w:spacing w:val="4"/>
          <w:highlight w:val="none"/>
          <w:u w:val="single"/>
        </w:rPr>
        <w:t xml:space="preserve">                             </w:t>
      </w:r>
    </w:p>
    <w:p>
      <w:pPr>
        <w:shd w:val="clear"/>
        <w:rPr>
          <w:spacing w:val="4"/>
          <w:highlight w:val="none"/>
        </w:rPr>
      </w:pPr>
    </w:p>
    <w:p>
      <w:pPr>
        <w:shd w:val="clear"/>
        <w:spacing w:line="440" w:lineRule="exact"/>
        <w:rPr>
          <w:rFonts w:ascii="仿宋_GB2312" w:eastAsia="仿宋_GB2312" w:cs="仿宋_GB2312"/>
          <w:spacing w:val="6"/>
          <w:sz w:val="30"/>
          <w:szCs w:val="30"/>
          <w:highlight w:val="none"/>
        </w:rPr>
      </w:pPr>
      <w:r>
        <w:rPr>
          <w:rFonts w:hint="eastAsia" w:ascii="宋体"/>
          <w:highlight w:val="none"/>
        </w:rPr>
        <w:t>法定代表人或</w:t>
      </w:r>
      <w:r>
        <w:rPr>
          <w:rFonts w:hint="eastAsia" w:ascii="宋体" w:hAnsi="宋体"/>
          <w:highlight w:val="none"/>
        </w:rPr>
        <w:t>投标人授权代表（签名或盖章）：</w:t>
      </w:r>
      <w:r>
        <w:rPr>
          <w:spacing w:val="4"/>
          <w:highlight w:val="none"/>
          <w:u w:val="single"/>
        </w:rPr>
        <w:t xml:space="preserve">             </w:t>
      </w:r>
      <w:r>
        <w:rPr>
          <w:spacing w:val="4"/>
          <w:highlight w:val="none"/>
        </w:rPr>
        <w:t xml:space="preserve"> </w:t>
      </w:r>
      <w:r>
        <w:rPr>
          <w:rFonts w:hint="eastAsia"/>
          <w:spacing w:val="4"/>
          <w:highlight w:val="none"/>
        </w:rPr>
        <w:t xml:space="preserve">    日期</w:t>
      </w:r>
      <w:r>
        <w:rPr>
          <w:spacing w:val="4"/>
          <w:highlight w:val="none"/>
          <w:u w:val="single"/>
        </w:rPr>
        <w:t xml:space="preserve">         </w:t>
      </w:r>
    </w:p>
    <w:p>
      <w:pPr>
        <w:numPr>
          <w:ilvl w:val="0"/>
          <w:numId w:val="147"/>
        </w:numPr>
        <w:shd w:val="clear"/>
        <w:spacing w:line="440" w:lineRule="exact"/>
        <w:rPr>
          <w:rFonts w:ascii="Arial" w:hAnsi="Arial" w:eastAsia="黑体"/>
          <w:sz w:val="32"/>
          <w:szCs w:val="32"/>
          <w:highlight w:val="none"/>
        </w:rPr>
      </w:pPr>
    </w:p>
    <w:p>
      <w:pPr>
        <w:pStyle w:val="5"/>
        <w:shd w:val="clear"/>
        <w:adjustRightInd w:val="0"/>
        <w:snapToGrid w:val="0"/>
        <w:spacing w:before="156" w:beforeLines="50" w:after="156" w:afterLines="50" w:line="360" w:lineRule="auto"/>
        <w:jc w:val="center"/>
        <w:rPr>
          <w:b w:val="0"/>
          <w:bCs w:val="0"/>
          <w:highlight w:val="none"/>
        </w:rPr>
      </w:pPr>
      <w:r>
        <w:rPr>
          <w:rFonts w:hint="eastAsia"/>
          <w:b w:val="0"/>
          <w:bCs w:val="0"/>
          <w:highlight w:val="none"/>
        </w:rPr>
        <w:t>招标代理服务费承诺书</w:t>
      </w:r>
      <w:bookmarkEnd w:id="150"/>
    </w:p>
    <w:p>
      <w:pPr>
        <w:shd w:val="clear"/>
        <w:spacing w:line="520" w:lineRule="exact"/>
        <w:ind w:left="315"/>
        <w:rPr>
          <w:rFonts w:ascii="宋体" w:hAnsi="宋体" w:cs="宋体"/>
          <w:b/>
          <w:szCs w:val="21"/>
          <w:highlight w:val="none"/>
        </w:rPr>
      </w:pPr>
      <w:r>
        <w:rPr>
          <w:rFonts w:hint="eastAsia" w:ascii="宋体" w:hAnsi="宋体" w:cs="宋体"/>
          <w:b/>
          <w:szCs w:val="21"/>
          <w:highlight w:val="none"/>
        </w:rPr>
        <w:t>广东必鼎工程项目管理有限公司:</w:t>
      </w:r>
    </w:p>
    <w:p>
      <w:pPr>
        <w:shd w:val="clear"/>
        <w:spacing w:line="360" w:lineRule="auto"/>
        <w:ind w:left="315" w:leftChars="150" w:firstLine="420" w:firstLineChars="200"/>
        <w:rPr>
          <w:rFonts w:ascii="宋体" w:hAnsi="宋体" w:cs="宋体"/>
          <w:szCs w:val="21"/>
          <w:highlight w:val="none"/>
        </w:rPr>
      </w:pPr>
      <w:r>
        <w:rPr>
          <w:rFonts w:hint="eastAsia" w:ascii="宋体" w:hAnsi="宋体" w:cs="宋体"/>
          <w:szCs w:val="21"/>
          <w:highlight w:val="none"/>
        </w:rPr>
        <w:t>本公司</w:t>
      </w:r>
      <w:r>
        <w:rPr>
          <w:rFonts w:hint="eastAsia" w:ascii="宋体" w:hAnsi="宋体" w:cs="宋体"/>
          <w:szCs w:val="21"/>
          <w:highlight w:val="none"/>
          <w:u w:val="single"/>
        </w:rPr>
        <w:t xml:space="preserve">       (投标人名称)      </w:t>
      </w:r>
      <w:r>
        <w:rPr>
          <w:rFonts w:hint="eastAsia" w:ascii="宋体" w:hAnsi="宋体" w:cs="宋体"/>
          <w:szCs w:val="21"/>
          <w:highlight w:val="none"/>
        </w:rPr>
        <w:t>在参加在贵公司举行的</w:t>
      </w:r>
      <w:r>
        <w:rPr>
          <w:rFonts w:hint="eastAsia" w:ascii="宋体" w:hAnsi="宋体" w:cs="宋体"/>
          <w:szCs w:val="21"/>
          <w:highlight w:val="none"/>
          <w:u w:val="single"/>
        </w:rPr>
        <w:t xml:space="preserve">       (项目名称)      </w:t>
      </w:r>
      <w:r>
        <w:rPr>
          <w:rFonts w:hint="eastAsia" w:ascii="宋体" w:hAnsi="宋体" w:cs="宋体"/>
          <w:szCs w:val="21"/>
          <w:highlight w:val="none"/>
        </w:rPr>
        <w:t>(项目编号：BDGZ2023024)的招标中如获中标，我公司保证按照招标文件规定缴纳“招标代理服务费”后，凭领取人身份证复印件并加盖公章领取《中标通知书》。</w:t>
      </w:r>
    </w:p>
    <w:p>
      <w:pPr>
        <w:shd w:val="clear"/>
        <w:spacing w:line="360" w:lineRule="auto"/>
        <w:ind w:left="315" w:leftChars="150" w:firstLine="420" w:firstLineChars="200"/>
        <w:rPr>
          <w:rFonts w:ascii="宋体" w:hAnsi="宋体" w:cs="宋体"/>
          <w:szCs w:val="21"/>
          <w:highlight w:val="none"/>
        </w:rPr>
      </w:pPr>
      <w:r>
        <w:rPr>
          <w:rFonts w:hint="eastAsia" w:ascii="宋体" w:hAnsi="宋体" w:cs="宋体"/>
          <w:szCs w:val="21"/>
          <w:highlight w:val="none"/>
        </w:rPr>
        <w:t>如我方违反上款承诺，愿凭贵公司开出的相关通知，同意广东必鼎工程项目管理有限公司办理支付手续，扣除我司提交的全部投标保证金，并愿承担全部由此引起的法律责任。</w:t>
      </w:r>
    </w:p>
    <w:p>
      <w:pPr>
        <w:shd w:val="clear"/>
        <w:spacing w:line="360" w:lineRule="auto"/>
        <w:ind w:left="150" w:firstLine="200"/>
        <w:rPr>
          <w:rFonts w:ascii="宋体" w:hAnsi="宋体" w:cs="宋体"/>
          <w:szCs w:val="21"/>
          <w:highlight w:val="none"/>
        </w:rPr>
      </w:pPr>
    </w:p>
    <w:p>
      <w:pPr>
        <w:shd w:val="clear"/>
        <w:spacing w:line="520" w:lineRule="exact"/>
        <w:ind w:firstLine="840" w:firstLineChars="400"/>
        <w:rPr>
          <w:rFonts w:ascii="宋体" w:hAnsi="宋体" w:cs="宋体"/>
          <w:szCs w:val="21"/>
          <w:highlight w:val="none"/>
        </w:rPr>
      </w:pPr>
      <w:r>
        <w:rPr>
          <w:rFonts w:hint="eastAsia" w:ascii="宋体" w:hAnsi="宋体" w:cs="宋体"/>
          <w:szCs w:val="21"/>
          <w:highlight w:val="none"/>
        </w:rPr>
        <w:t>特此承诺!</w:t>
      </w:r>
    </w:p>
    <w:p>
      <w:pPr>
        <w:shd w:val="clear"/>
        <w:spacing w:line="520" w:lineRule="exact"/>
        <w:ind w:left="315"/>
        <w:rPr>
          <w:rFonts w:ascii="宋体" w:hAnsi="宋体" w:cs="宋体"/>
          <w:szCs w:val="21"/>
          <w:highlight w:val="none"/>
        </w:rPr>
      </w:pPr>
    </w:p>
    <w:p>
      <w:pPr>
        <w:shd w:val="clear"/>
        <w:spacing w:line="520" w:lineRule="exact"/>
        <w:ind w:left="315"/>
        <w:rPr>
          <w:rFonts w:ascii="宋体" w:hAnsi="宋体" w:cs="宋体"/>
          <w:szCs w:val="21"/>
          <w:highlight w:val="none"/>
        </w:rPr>
      </w:pPr>
      <w:r>
        <w:rPr>
          <w:rFonts w:hint="eastAsia" w:ascii="宋体" w:hAnsi="宋体" w:cs="宋体"/>
          <w:szCs w:val="21"/>
          <w:highlight w:val="none"/>
        </w:rPr>
        <w:t>投标人名称(加盖公章):</w:t>
      </w:r>
    </w:p>
    <w:p>
      <w:pPr>
        <w:shd w:val="clear"/>
        <w:spacing w:line="520" w:lineRule="exact"/>
        <w:ind w:left="315"/>
        <w:rPr>
          <w:rFonts w:ascii="宋体" w:hAnsi="宋体" w:cs="宋体"/>
          <w:szCs w:val="21"/>
          <w:highlight w:val="none"/>
        </w:rPr>
      </w:pPr>
      <w:r>
        <w:rPr>
          <w:rFonts w:hint="eastAsia" w:ascii="宋体" w:hAnsi="宋体" w:cs="宋体"/>
          <w:szCs w:val="21"/>
          <w:highlight w:val="none"/>
        </w:rPr>
        <w:t>投标人地址:</w:t>
      </w:r>
    </w:p>
    <w:p>
      <w:pPr>
        <w:shd w:val="clear"/>
        <w:spacing w:line="520" w:lineRule="exact"/>
        <w:ind w:left="315"/>
        <w:rPr>
          <w:rFonts w:ascii="宋体" w:hAnsi="宋体" w:cs="宋体"/>
          <w:szCs w:val="21"/>
          <w:highlight w:val="none"/>
        </w:rPr>
      </w:pPr>
      <w:r>
        <w:rPr>
          <w:rFonts w:hint="eastAsia" w:ascii="宋体" w:hAnsi="宋体" w:cs="宋体"/>
          <w:szCs w:val="21"/>
          <w:highlight w:val="none"/>
        </w:rPr>
        <w:t>电话:</w:t>
      </w:r>
    </w:p>
    <w:p>
      <w:pPr>
        <w:shd w:val="clear"/>
        <w:spacing w:line="520" w:lineRule="exact"/>
        <w:ind w:left="315"/>
        <w:rPr>
          <w:rFonts w:ascii="宋体" w:hAnsi="宋体" w:cs="宋体"/>
          <w:szCs w:val="21"/>
          <w:highlight w:val="none"/>
        </w:rPr>
      </w:pPr>
      <w:r>
        <w:rPr>
          <w:rFonts w:hint="eastAsia" w:ascii="宋体" w:hAnsi="宋体" w:cs="宋体"/>
          <w:szCs w:val="21"/>
          <w:highlight w:val="none"/>
        </w:rPr>
        <w:t>传真:</w:t>
      </w:r>
    </w:p>
    <w:p>
      <w:pPr>
        <w:shd w:val="clear"/>
        <w:spacing w:line="520" w:lineRule="exact"/>
        <w:ind w:left="315"/>
        <w:rPr>
          <w:rFonts w:ascii="宋体" w:hAnsi="宋体" w:cs="宋体"/>
          <w:szCs w:val="21"/>
          <w:highlight w:val="none"/>
        </w:rPr>
      </w:pPr>
      <w:r>
        <w:rPr>
          <w:rFonts w:hint="eastAsia" w:ascii="宋体" w:hAnsi="宋体" w:cs="宋体"/>
          <w:szCs w:val="21"/>
          <w:highlight w:val="none"/>
        </w:rPr>
        <w:t>法定代表人或投标人授权代表（签名或盖章）：</w:t>
      </w:r>
    </w:p>
    <w:p>
      <w:pPr>
        <w:shd w:val="clear"/>
        <w:spacing w:line="520" w:lineRule="exact"/>
        <w:ind w:left="315"/>
        <w:rPr>
          <w:rFonts w:ascii="宋体" w:hAnsi="宋体" w:cs="宋体"/>
          <w:szCs w:val="21"/>
          <w:highlight w:val="none"/>
        </w:rPr>
      </w:pPr>
      <w:r>
        <w:rPr>
          <w:rFonts w:hint="eastAsia" w:ascii="宋体" w:hAnsi="宋体" w:cs="宋体"/>
          <w:szCs w:val="21"/>
          <w:highlight w:val="none"/>
        </w:rPr>
        <w:t>签署日期:</w:t>
      </w:r>
    </w:p>
    <w:p>
      <w:pPr>
        <w:shd w:val="clear"/>
        <w:spacing w:line="520" w:lineRule="exact"/>
        <w:ind w:left="315"/>
        <w:rPr>
          <w:rFonts w:ascii="宋体" w:hAnsi="宋体" w:cs="宋体"/>
          <w:szCs w:val="21"/>
          <w:highlight w:val="none"/>
        </w:rPr>
      </w:pPr>
    </w:p>
    <w:p>
      <w:pPr>
        <w:shd w:val="clear"/>
        <w:spacing w:line="520" w:lineRule="exact"/>
        <w:rPr>
          <w:rFonts w:ascii="宋体" w:hAnsi="宋体" w:cs="宋体"/>
          <w:szCs w:val="21"/>
          <w:highlight w:val="none"/>
        </w:rPr>
        <w:sectPr>
          <w:pgSz w:w="11906" w:h="16838"/>
          <w:pgMar w:top="1440" w:right="1286" w:bottom="1440" w:left="1440" w:header="851" w:footer="992" w:gutter="0"/>
          <w:cols w:space="720" w:num="1"/>
          <w:docGrid w:type="lines" w:linePitch="312" w:charSpace="0"/>
        </w:sectPr>
      </w:pPr>
    </w:p>
    <w:p>
      <w:pPr>
        <w:numPr>
          <w:ilvl w:val="0"/>
          <w:numId w:val="147"/>
        </w:numPr>
        <w:shd w:val="clear"/>
        <w:spacing w:line="440" w:lineRule="exact"/>
        <w:rPr>
          <w:rFonts w:ascii="宋体" w:hAnsi="宋体" w:cs="宋体"/>
          <w:szCs w:val="21"/>
          <w:highlight w:val="none"/>
        </w:rPr>
      </w:pPr>
    </w:p>
    <w:p>
      <w:pPr>
        <w:shd w:val="clear"/>
        <w:jc w:val="center"/>
        <w:rPr>
          <w:rFonts w:ascii="Arial" w:hAnsi="Arial" w:eastAsia="黑体"/>
          <w:sz w:val="32"/>
          <w:szCs w:val="32"/>
          <w:highlight w:val="none"/>
        </w:rPr>
      </w:pPr>
      <w:r>
        <w:rPr>
          <w:rFonts w:hint="eastAsia" w:ascii="Arial" w:hAnsi="Arial" w:eastAsia="黑体"/>
          <w:sz w:val="32"/>
          <w:szCs w:val="32"/>
          <w:highlight w:val="none"/>
        </w:rPr>
        <w:t>企业采购保证金退付委托书</w:t>
      </w:r>
    </w:p>
    <w:p>
      <w:pPr>
        <w:shd w:val="clear"/>
        <w:rPr>
          <w:rFonts w:ascii="宋体" w:hAnsi="宋体"/>
          <w:b/>
          <w:sz w:val="36"/>
          <w:szCs w:val="36"/>
          <w:highlight w:val="none"/>
        </w:rPr>
      </w:pPr>
    </w:p>
    <w:p>
      <w:pPr>
        <w:shd w:val="clear"/>
        <w:rPr>
          <w:rFonts w:ascii="宋体" w:hAnsi="宋体"/>
          <w:sz w:val="28"/>
          <w:szCs w:val="28"/>
          <w:highlight w:val="none"/>
        </w:rPr>
      </w:pPr>
      <w:r>
        <w:rPr>
          <w:rFonts w:hint="eastAsia" w:ascii="宋体" w:hAnsi="宋体"/>
          <w:sz w:val="28"/>
          <w:szCs w:val="28"/>
          <w:highlight w:val="none"/>
        </w:rPr>
        <w:t>佛山市南海公有资产流转服务有限公司：</w:t>
      </w:r>
    </w:p>
    <w:p>
      <w:pPr>
        <w:shd w:val="clear"/>
        <w:ind w:firstLine="560" w:firstLineChars="200"/>
        <w:rPr>
          <w:rFonts w:ascii="宋体" w:hAnsi="宋体"/>
          <w:sz w:val="28"/>
          <w:szCs w:val="28"/>
          <w:highlight w:val="none"/>
        </w:rPr>
      </w:pPr>
      <w:r>
        <w:rPr>
          <w:rFonts w:hint="eastAsia" w:ascii="宋体" w:hAnsi="宋体"/>
          <w:sz w:val="28"/>
          <w:szCs w:val="28"/>
          <w:highlight w:val="none"/>
        </w:rPr>
        <w:t>兹委托贵司将招标人：</w:t>
      </w:r>
      <w:r>
        <w:rPr>
          <w:rFonts w:hint="eastAsia" w:ascii="宋体" w:hAnsi="宋体"/>
          <w:sz w:val="28"/>
          <w:szCs w:val="28"/>
          <w:highlight w:val="none"/>
          <w:u w:val="single"/>
        </w:rPr>
        <w:t>佛山市千灯湖创投小镇投资开发有限公司</w:t>
      </w:r>
      <w:r>
        <w:rPr>
          <w:rFonts w:hint="eastAsia" w:ascii="宋体" w:hAnsi="宋体"/>
          <w:sz w:val="28"/>
          <w:szCs w:val="28"/>
          <w:highlight w:val="none"/>
        </w:rPr>
        <w:t>的企业采购项目“</w:t>
      </w:r>
      <w:r>
        <w:rPr>
          <w:rFonts w:hint="eastAsia" w:ascii="宋体" w:hAnsi="宋体"/>
          <w:sz w:val="28"/>
          <w:szCs w:val="28"/>
          <w:highlight w:val="none"/>
          <w:u w:val="single"/>
        </w:rPr>
        <w:t>千灯湖创投特色小镇核心区物业管理服务</w:t>
      </w:r>
      <w:r>
        <w:rPr>
          <w:rFonts w:hint="eastAsia" w:ascii="宋体" w:hAnsi="宋体"/>
          <w:sz w:val="28"/>
          <w:szCs w:val="28"/>
          <w:highlight w:val="none"/>
        </w:rPr>
        <w:t>”（项目编号：</w:t>
      </w:r>
      <w:r>
        <w:rPr>
          <w:rFonts w:hint="eastAsia" w:ascii="宋体" w:hAnsi="宋体"/>
          <w:sz w:val="28"/>
          <w:szCs w:val="28"/>
          <w:highlight w:val="none"/>
          <w:u w:val="single"/>
        </w:rPr>
        <w:t>BDGZ2023024）</w:t>
      </w:r>
    </w:p>
    <w:p>
      <w:pPr>
        <w:shd w:val="clear"/>
        <w:ind w:firstLine="560" w:firstLineChars="200"/>
        <w:rPr>
          <w:rFonts w:ascii="宋体" w:hAnsi="宋体"/>
          <w:sz w:val="28"/>
          <w:szCs w:val="28"/>
          <w:highlight w:val="none"/>
        </w:rPr>
      </w:pPr>
      <w:r>
        <w:rPr>
          <w:rFonts w:hint="eastAsia" w:ascii="宋体" w:hAnsi="宋体"/>
          <w:sz w:val="28"/>
          <w:szCs w:val="28"/>
          <w:highlight w:val="none"/>
        </w:rPr>
        <w:t>项目</w:t>
      </w:r>
      <w:r>
        <w:rPr>
          <w:rFonts w:hint="eastAsia" w:ascii="宋体" w:hAnsi="宋体"/>
          <w:sz w:val="28"/>
          <w:szCs w:val="28"/>
          <w:highlight w:val="none"/>
          <w:u w:val="single"/>
        </w:rPr>
        <w:t>保证金</w:t>
      </w:r>
      <w:r>
        <w:rPr>
          <w:rFonts w:hint="eastAsia" w:ascii="宋体" w:hAnsi="宋体"/>
          <w:sz w:val="28"/>
          <w:szCs w:val="28"/>
          <w:highlight w:val="none"/>
        </w:rPr>
        <w:t>：人民币大写:</w:t>
      </w:r>
      <w:r>
        <w:rPr>
          <w:rFonts w:hint="eastAsia" w:ascii="宋体" w:hAnsi="宋体"/>
          <w:sz w:val="28"/>
          <w:szCs w:val="28"/>
          <w:highlight w:val="none"/>
          <w:u w:val="single"/>
        </w:rPr>
        <w:t xml:space="preserve">                  </w:t>
      </w:r>
      <w:r>
        <w:rPr>
          <w:rFonts w:hint="eastAsia" w:ascii="宋体" w:hAnsi="宋体"/>
          <w:sz w:val="28"/>
          <w:szCs w:val="28"/>
          <w:highlight w:val="none"/>
        </w:rPr>
        <w:t>（小写：￥</w:t>
      </w:r>
      <w:r>
        <w:rPr>
          <w:rFonts w:hint="eastAsia" w:ascii="宋体" w:hAnsi="宋体"/>
          <w:sz w:val="28"/>
          <w:szCs w:val="28"/>
          <w:highlight w:val="none"/>
          <w:u w:val="single"/>
        </w:rPr>
        <w:t xml:space="preserve">          </w:t>
      </w:r>
      <w:r>
        <w:rPr>
          <w:rFonts w:hint="eastAsia" w:ascii="宋体" w:hAnsi="宋体"/>
          <w:sz w:val="28"/>
          <w:szCs w:val="28"/>
          <w:highlight w:val="none"/>
        </w:rPr>
        <w:t>）退回以下帐户：</w:t>
      </w:r>
    </w:p>
    <w:p>
      <w:pPr>
        <w:shd w:val="clear"/>
        <w:rPr>
          <w:rFonts w:ascii="宋体" w:hAnsi="宋体"/>
          <w:sz w:val="28"/>
          <w:szCs w:val="28"/>
          <w:highlight w:val="none"/>
          <w:u w:val="single"/>
        </w:rPr>
      </w:pPr>
      <w:r>
        <w:rPr>
          <w:rFonts w:hint="eastAsia" w:ascii="宋体" w:hAnsi="宋体"/>
          <w:sz w:val="28"/>
          <w:szCs w:val="28"/>
          <w:highlight w:val="none"/>
        </w:rPr>
        <w:t xml:space="preserve">户名： </w:t>
      </w:r>
      <w:r>
        <w:rPr>
          <w:rFonts w:hint="eastAsia" w:ascii="宋体" w:hAnsi="宋体"/>
          <w:sz w:val="28"/>
          <w:szCs w:val="28"/>
          <w:highlight w:val="none"/>
          <w:u w:val="single"/>
        </w:rPr>
        <w:t xml:space="preserve">                     （与缴款人或者单位一致）</w:t>
      </w:r>
    </w:p>
    <w:p>
      <w:pPr>
        <w:shd w:val="clear"/>
        <w:rPr>
          <w:rFonts w:ascii="宋体" w:hAnsi="宋体"/>
          <w:sz w:val="28"/>
          <w:szCs w:val="28"/>
          <w:highlight w:val="none"/>
          <w:u w:val="single"/>
        </w:rPr>
      </w:pPr>
      <w:r>
        <w:rPr>
          <w:rFonts w:hint="eastAsia" w:ascii="宋体" w:hAnsi="宋体"/>
          <w:sz w:val="28"/>
          <w:szCs w:val="28"/>
          <w:highlight w:val="none"/>
        </w:rPr>
        <w:t xml:space="preserve">账号： </w:t>
      </w:r>
      <w:r>
        <w:rPr>
          <w:rFonts w:hint="eastAsia" w:ascii="宋体" w:hAnsi="宋体"/>
          <w:sz w:val="28"/>
          <w:szCs w:val="28"/>
          <w:highlight w:val="none"/>
          <w:u w:val="single"/>
        </w:rPr>
        <w:t xml:space="preserve">                                             </w:t>
      </w:r>
    </w:p>
    <w:p>
      <w:pPr>
        <w:shd w:val="clear"/>
        <w:rPr>
          <w:rFonts w:ascii="宋体" w:hAnsi="宋体"/>
          <w:sz w:val="28"/>
          <w:szCs w:val="28"/>
          <w:highlight w:val="none"/>
          <w:u w:val="single"/>
        </w:rPr>
      </w:pPr>
      <w:r>
        <w:rPr>
          <w:rFonts w:hint="eastAsia" w:ascii="宋体" w:hAnsi="宋体"/>
          <w:sz w:val="28"/>
          <w:szCs w:val="28"/>
          <w:highlight w:val="none"/>
        </w:rPr>
        <w:t>开户银行：</w:t>
      </w:r>
      <w:r>
        <w:rPr>
          <w:rFonts w:hint="eastAsia" w:ascii="宋体" w:hAnsi="宋体"/>
          <w:sz w:val="28"/>
          <w:szCs w:val="28"/>
          <w:highlight w:val="none"/>
          <w:u w:val="single"/>
        </w:rPr>
        <w:t xml:space="preserve">                                          </w:t>
      </w:r>
    </w:p>
    <w:p>
      <w:pPr>
        <w:shd w:val="clear"/>
        <w:rPr>
          <w:rFonts w:ascii="宋体" w:hAnsi="宋体"/>
          <w:sz w:val="28"/>
          <w:szCs w:val="28"/>
          <w:highlight w:val="none"/>
          <w:u w:val="single"/>
        </w:rPr>
      </w:pPr>
      <w:r>
        <w:rPr>
          <w:rFonts w:hint="eastAsia" w:ascii="宋体" w:hAnsi="宋体"/>
          <w:sz w:val="28"/>
          <w:szCs w:val="28"/>
          <w:highlight w:val="none"/>
        </w:rPr>
        <w:t>联系方式：</w:t>
      </w:r>
      <w:r>
        <w:rPr>
          <w:rFonts w:hint="eastAsia" w:ascii="宋体" w:hAnsi="宋体"/>
          <w:sz w:val="28"/>
          <w:szCs w:val="28"/>
          <w:highlight w:val="none"/>
          <w:u w:val="single"/>
        </w:rPr>
        <w:t xml:space="preserve">                                          </w:t>
      </w:r>
    </w:p>
    <w:p>
      <w:pPr>
        <w:shd w:val="clear"/>
        <w:ind w:firstLine="560" w:firstLineChars="200"/>
        <w:rPr>
          <w:rFonts w:ascii="宋体" w:hAnsi="宋体"/>
          <w:sz w:val="28"/>
          <w:szCs w:val="28"/>
          <w:highlight w:val="none"/>
        </w:rPr>
      </w:pPr>
      <w:r>
        <w:rPr>
          <w:rFonts w:hint="eastAsia" w:ascii="宋体" w:hAnsi="宋体"/>
          <w:sz w:val="28"/>
          <w:szCs w:val="28"/>
          <w:highlight w:val="none"/>
        </w:rPr>
        <w:t>此委托退款账号及户名经本人（单位）核对无误，如有差异导致款项错退，本（单位）人承担其经济责任。</w:t>
      </w:r>
    </w:p>
    <w:p>
      <w:pPr>
        <w:shd w:val="clear"/>
        <w:ind w:firstLine="560" w:firstLineChars="200"/>
        <w:rPr>
          <w:rFonts w:ascii="宋体" w:hAnsi="宋体"/>
          <w:sz w:val="28"/>
          <w:szCs w:val="28"/>
          <w:highlight w:val="none"/>
        </w:rPr>
      </w:pPr>
      <w:r>
        <w:rPr>
          <w:rFonts w:hint="eastAsia" w:ascii="宋体" w:hAnsi="宋体"/>
          <w:sz w:val="28"/>
          <w:szCs w:val="28"/>
          <w:highlight w:val="none"/>
        </w:rPr>
        <w:t>特此委托</w:t>
      </w:r>
    </w:p>
    <w:p>
      <w:pPr>
        <w:shd w:val="clear"/>
        <w:rPr>
          <w:rFonts w:ascii="宋体" w:hAnsi="宋体"/>
          <w:sz w:val="28"/>
          <w:szCs w:val="28"/>
          <w:highlight w:val="none"/>
        </w:rPr>
      </w:pPr>
      <w:r>
        <w:rPr>
          <w:rFonts w:hint="eastAsia" w:ascii="宋体" w:hAnsi="宋体"/>
          <w:sz w:val="28"/>
          <w:szCs w:val="28"/>
          <w:highlight w:val="none"/>
        </w:rPr>
        <w:t xml:space="preserve">                                        </w:t>
      </w:r>
    </w:p>
    <w:p>
      <w:pPr>
        <w:shd w:val="clear"/>
        <w:ind w:right="560" w:firstLine="3500" w:firstLineChars="1250"/>
        <w:rPr>
          <w:rFonts w:ascii="宋体" w:hAnsi="宋体"/>
          <w:sz w:val="28"/>
          <w:szCs w:val="28"/>
          <w:highlight w:val="none"/>
        </w:rPr>
      </w:pPr>
      <w:r>
        <w:rPr>
          <w:rFonts w:hint="eastAsia" w:ascii="宋体" w:hAnsi="宋体"/>
          <w:sz w:val="28"/>
          <w:szCs w:val="28"/>
          <w:highlight w:val="none"/>
        </w:rPr>
        <w:t>单位（单位盖章）：</w:t>
      </w:r>
    </w:p>
    <w:p>
      <w:pPr>
        <w:shd w:val="clear"/>
        <w:ind w:right="560" w:firstLine="3640" w:firstLineChars="1300"/>
        <w:rPr>
          <w:rFonts w:ascii="宋体" w:hAnsi="宋体"/>
          <w:sz w:val="28"/>
          <w:szCs w:val="28"/>
          <w:highlight w:val="none"/>
        </w:rPr>
      </w:pPr>
      <w:r>
        <w:rPr>
          <w:rFonts w:hint="eastAsia" w:ascii="宋体" w:hAnsi="宋体"/>
          <w:sz w:val="28"/>
          <w:szCs w:val="28"/>
          <w:highlight w:val="none"/>
        </w:rPr>
        <w:t xml:space="preserve">   </w:t>
      </w:r>
    </w:p>
    <w:p>
      <w:pPr>
        <w:shd w:val="clear"/>
        <w:rPr>
          <w:rFonts w:ascii="宋体" w:hAnsi="宋体"/>
          <w:sz w:val="28"/>
          <w:szCs w:val="28"/>
          <w:highlight w:val="none"/>
        </w:rPr>
      </w:pPr>
      <w:r>
        <w:rPr>
          <w:rFonts w:hint="eastAsia" w:ascii="宋体" w:hAnsi="宋体"/>
          <w:sz w:val="28"/>
          <w:szCs w:val="28"/>
          <w:highlight w:val="none"/>
        </w:rPr>
        <w:t xml:space="preserve">                                年     月     日</w:t>
      </w:r>
    </w:p>
    <w:p>
      <w:pPr>
        <w:shd w:val="clear"/>
        <w:rPr>
          <w:rFonts w:ascii="宋体" w:hAnsi="宋体" w:cs="宋体"/>
          <w:szCs w:val="21"/>
          <w:highlight w:val="none"/>
        </w:rPr>
      </w:pPr>
    </w:p>
    <w:p>
      <w:pPr>
        <w:shd w:val="clear"/>
        <w:rPr>
          <w:highlight w:val="none"/>
        </w:rPr>
      </w:pPr>
    </w:p>
    <w:sectPr>
      <w:pgSz w:w="11906" w:h="16838"/>
      <w:pgMar w:top="1440" w:right="1286" w:bottom="144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swiss"/>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ˎ̥">
    <w:altName w:val="微软雅黑"/>
    <w:panose1 w:val="00000000000000000000"/>
    <w:charset w:val="00"/>
    <w:family w:val="roman"/>
    <w:pitch w:val="default"/>
    <w:sig w:usb0="00000000" w:usb1="00000000" w:usb2="00000000"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2</w:t>
    </w:r>
    <w: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2070" w:firstLineChars="115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w:t>
                          </w:r>
                        </w:p>
                      </w:txbxContent>
                    </wps:txbx>
                    <wps:bodyPr wrap="none" lIns="0" tIns="0" rIns="0" bIns="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pAkg8QBAACQ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vaHEcYsDv/z4fvn5+/LrG1lW&#10;q9dZoT5AjYn3AVPT8NYPuDezH9CZiQ8q2vxFSgTjqO/5qq8cEhH50Xq1XlcYEhibL4jPHp6HCOmd&#10;9JZko6ERB1h05acPkMbUOSVXc/5OG1OGaNxfDsTMHpZ7H3vMVhr2w0Ro79sz8ulx9g11uOqUmPcO&#10;pc1rMhtxNvaTkWtAeHNMWLj0k1FHqKkYDqowmpYqb8Lje8l6+JG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gpAkg8QBAACQAwAADgAAAAAAAAABACAAAAAeAQAAZHJzL2Uyb0RvYy54bWxQ&#10;SwUGAAAAAAYABgBZAQAAVAUAAAAA&#10;">
              <v:fill on="f" focussize="0,0"/>
              <v:stroke on="f"/>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2430" w:firstLineChars="135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w:t>
                          </w:r>
                        </w:p>
                      </w:txbxContent>
                    </wps:txbx>
                    <wps:bodyPr wrap="none" lIns="0" tIns="0" rIns="0" bIns="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5yG/sQBAACQAwAADgAAAGRycy9lMm9Eb2MueG1srVNLbtswEN0XyB0I&#10;7mPKXrSC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2JVJoV6DxUmPnlMjcOdG3BvZj+gMxEf2mDSFykRjKO+p4u+cohEpEflqiwLDAmMzRfEZ8/PfYD4&#10;XjpDklHTgAPMuvLjI8QxdU5J1ay7V1rnIWr7lwMxk4el3scekxWH3TAR2rnmhHx6nH1NLa46JfrB&#10;orRpTWYjzMZuMlIN8LeHiIVzPwl1hJqK4aAyo2mp0ib8ec9Zzz/S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m5yG/sQBAACQAwAADgAAAAAAAAABACAAAAAeAQAAZHJzL2Uyb0RvYy54bWxQ&#10;SwUGAAAAAAYABgBZAQAAVAUAAAAA&#10;">
              <v:fill on="f" focussize="0,0"/>
              <v:stroke on="f"/>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jc w:val="both"/>
      <w:rPr>
        <w:rFonts w:ascii="楷体_GB2312" w:eastAsia="楷体_GB23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left"/>
    </w:pPr>
    <w:r>
      <w:rPr>
        <w:rFonts w:hint="eastAsia" w:ascii="宋体" w:hAnsi="宋体" w:cs="宋体"/>
      </w:rPr>
      <w:drawing>
        <wp:inline distT="0" distB="0" distL="114300" distR="114300">
          <wp:extent cx="467360" cy="318135"/>
          <wp:effectExtent l="0" t="0" r="8890" b="5715"/>
          <wp:docPr id="9" name="图片 9" descr="eb111b8149709745ca2d4184663b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b111b8149709745ca2d4184663bcbc"/>
                  <pic:cNvPicPr>
                    <a:picLocks noChangeAspect="1"/>
                  </pic:cNvPicPr>
                </pic:nvPicPr>
                <pic:blipFill>
                  <a:blip r:embed="rId1"/>
                  <a:stretch>
                    <a:fillRect/>
                  </a:stretch>
                </pic:blipFill>
                <pic:spPr>
                  <a:xfrm>
                    <a:off x="0" y="0"/>
                    <a:ext cx="467360" cy="318135"/>
                  </a:xfrm>
                  <a:prstGeom prst="rect">
                    <a:avLst/>
                  </a:prstGeom>
                </pic:spPr>
              </pic:pic>
            </a:graphicData>
          </a:graphic>
        </wp:inline>
      </w:drawing>
    </w:r>
    <w:r>
      <w:rPr>
        <w:rFonts w:hint="eastAsia" w:ascii="宋体" w:hAnsi="宋体" w:cs="宋体"/>
        <w:sz w:val="24"/>
      </w:rPr>
      <w:t xml:space="preserve"> </w:t>
    </w:r>
    <w:r>
      <w:rPr>
        <w:rFonts w:hint="eastAsia" w:ascii="宋体" w:hAnsi="宋体" w:cs="宋体"/>
      </w:rPr>
      <w:t>广东必鼎工程项目管理有限公司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left"/>
    </w:pPr>
    <w:r>
      <w:rPr>
        <w:rFonts w:hint="eastAsia" w:ascii="宋体" w:hAnsi="宋体" w:cs="宋体"/>
      </w:rPr>
      <w:drawing>
        <wp:inline distT="0" distB="0" distL="114300" distR="114300">
          <wp:extent cx="467360" cy="318135"/>
          <wp:effectExtent l="0" t="0" r="8890" b="5715"/>
          <wp:docPr id="10" name="图片 10" descr="eb111b8149709745ca2d4184663b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b111b8149709745ca2d4184663bcbc"/>
                  <pic:cNvPicPr>
                    <a:picLocks noChangeAspect="1"/>
                  </pic:cNvPicPr>
                </pic:nvPicPr>
                <pic:blipFill>
                  <a:blip r:embed="rId1"/>
                  <a:stretch>
                    <a:fillRect/>
                  </a:stretch>
                </pic:blipFill>
                <pic:spPr>
                  <a:xfrm>
                    <a:off x="0" y="0"/>
                    <a:ext cx="467360" cy="318135"/>
                  </a:xfrm>
                  <a:prstGeom prst="rect">
                    <a:avLst/>
                  </a:prstGeom>
                </pic:spPr>
              </pic:pic>
            </a:graphicData>
          </a:graphic>
        </wp:inline>
      </w:drawing>
    </w:r>
    <w:r>
      <w:rPr>
        <w:rFonts w:hint="eastAsia" w:ascii="宋体" w:hAnsi="宋体" w:cs="宋体"/>
      </w:rPr>
      <w:t>广东必鼎工程项目管理有限公司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B35DDD"/>
    <w:multiLevelType w:val="singleLevel"/>
    <w:tmpl w:val="80B35DDD"/>
    <w:lvl w:ilvl="0" w:tentative="0">
      <w:start w:val="1"/>
      <w:numFmt w:val="decimal"/>
      <w:lvlText w:val="%1."/>
      <w:lvlJc w:val="left"/>
      <w:pPr>
        <w:ind w:left="425" w:hanging="425"/>
      </w:pPr>
      <w:rPr>
        <w:rFonts w:hint="default"/>
      </w:rPr>
    </w:lvl>
  </w:abstractNum>
  <w:abstractNum w:abstractNumId="1">
    <w:nsid w:val="83233A7F"/>
    <w:multiLevelType w:val="singleLevel"/>
    <w:tmpl w:val="83233A7F"/>
    <w:lvl w:ilvl="0" w:tentative="0">
      <w:start w:val="1"/>
      <w:numFmt w:val="decimal"/>
      <w:lvlText w:val="(%1)"/>
      <w:lvlJc w:val="left"/>
      <w:pPr>
        <w:ind w:left="425" w:hanging="425"/>
      </w:pPr>
      <w:rPr>
        <w:rFonts w:hint="default"/>
      </w:rPr>
    </w:lvl>
  </w:abstractNum>
  <w:abstractNum w:abstractNumId="2">
    <w:nsid w:val="832382CB"/>
    <w:multiLevelType w:val="singleLevel"/>
    <w:tmpl w:val="832382CB"/>
    <w:lvl w:ilvl="0" w:tentative="0">
      <w:start w:val="1"/>
      <w:numFmt w:val="chineseCounting"/>
      <w:suff w:val="nothing"/>
      <w:lvlText w:val="（%1）"/>
      <w:lvlJc w:val="left"/>
      <w:pPr>
        <w:ind w:left="0" w:firstLine="420"/>
      </w:pPr>
      <w:rPr>
        <w:rFonts w:hint="eastAsia"/>
      </w:rPr>
    </w:lvl>
  </w:abstractNum>
  <w:abstractNum w:abstractNumId="3">
    <w:nsid w:val="84B736CF"/>
    <w:multiLevelType w:val="singleLevel"/>
    <w:tmpl w:val="84B736CF"/>
    <w:lvl w:ilvl="0" w:tentative="0">
      <w:start w:val="1"/>
      <w:numFmt w:val="decimal"/>
      <w:lvlText w:val="%1."/>
      <w:lvlJc w:val="left"/>
      <w:pPr>
        <w:ind w:left="425" w:hanging="425"/>
      </w:pPr>
      <w:rPr>
        <w:rFonts w:hint="default"/>
      </w:rPr>
    </w:lvl>
  </w:abstractNum>
  <w:abstractNum w:abstractNumId="4">
    <w:nsid w:val="861A93CD"/>
    <w:multiLevelType w:val="singleLevel"/>
    <w:tmpl w:val="861A93CD"/>
    <w:lvl w:ilvl="0" w:tentative="0">
      <w:start w:val="1"/>
      <w:numFmt w:val="decimal"/>
      <w:lvlText w:val="%1."/>
      <w:lvlJc w:val="left"/>
      <w:pPr>
        <w:ind w:left="425" w:hanging="425"/>
      </w:pPr>
      <w:rPr>
        <w:rFonts w:hint="default"/>
      </w:rPr>
    </w:lvl>
  </w:abstractNum>
  <w:abstractNum w:abstractNumId="5">
    <w:nsid w:val="87E6815F"/>
    <w:multiLevelType w:val="singleLevel"/>
    <w:tmpl w:val="87E6815F"/>
    <w:lvl w:ilvl="0" w:tentative="0">
      <w:start w:val="1"/>
      <w:numFmt w:val="decimal"/>
      <w:lvlText w:val="(%1)"/>
      <w:lvlJc w:val="left"/>
      <w:pPr>
        <w:ind w:left="425" w:hanging="425"/>
      </w:pPr>
      <w:rPr>
        <w:rFonts w:hint="default"/>
      </w:rPr>
    </w:lvl>
  </w:abstractNum>
  <w:abstractNum w:abstractNumId="6">
    <w:nsid w:val="880EDFDC"/>
    <w:multiLevelType w:val="singleLevel"/>
    <w:tmpl w:val="880EDFDC"/>
    <w:lvl w:ilvl="0" w:tentative="0">
      <w:start w:val="1"/>
      <w:numFmt w:val="chineseCounting"/>
      <w:suff w:val="nothing"/>
      <w:lvlText w:val="（%1）"/>
      <w:lvlJc w:val="left"/>
      <w:pPr>
        <w:ind w:left="0" w:firstLine="420"/>
      </w:pPr>
      <w:rPr>
        <w:rFonts w:hint="eastAsia"/>
      </w:rPr>
    </w:lvl>
  </w:abstractNum>
  <w:abstractNum w:abstractNumId="7">
    <w:nsid w:val="8E917AC8"/>
    <w:multiLevelType w:val="singleLevel"/>
    <w:tmpl w:val="8E917AC8"/>
    <w:lvl w:ilvl="0" w:tentative="0">
      <w:start w:val="8"/>
      <w:numFmt w:val="chineseCounting"/>
      <w:suff w:val="nothing"/>
      <w:lvlText w:val="（%1）"/>
      <w:lvlJc w:val="left"/>
      <w:pPr>
        <w:ind w:left="0" w:firstLine="420"/>
      </w:pPr>
      <w:rPr>
        <w:rFonts w:hint="eastAsia"/>
      </w:rPr>
    </w:lvl>
  </w:abstractNum>
  <w:abstractNum w:abstractNumId="8">
    <w:nsid w:val="9061DB4A"/>
    <w:multiLevelType w:val="singleLevel"/>
    <w:tmpl w:val="9061DB4A"/>
    <w:lvl w:ilvl="0" w:tentative="0">
      <w:start w:val="1"/>
      <w:numFmt w:val="decimal"/>
      <w:lvlText w:val="%1."/>
      <w:lvlJc w:val="left"/>
      <w:pPr>
        <w:ind w:left="425" w:hanging="425"/>
      </w:pPr>
      <w:rPr>
        <w:rFonts w:hint="default"/>
      </w:rPr>
    </w:lvl>
  </w:abstractNum>
  <w:abstractNum w:abstractNumId="9">
    <w:nsid w:val="91DEA2E2"/>
    <w:multiLevelType w:val="singleLevel"/>
    <w:tmpl w:val="91DEA2E2"/>
    <w:lvl w:ilvl="0" w:tentative="0">
      <w:start w:val="1"/>
      <w:numFmt w:val="decimal"/>
      <w:lvlText w:val="%1."/>
      <w:lvlJc w:val="left"/>
      <w:pPr>
        <w:ind w:left="425" w:hanging="425"/>
      </w:pPr>
      <w:rPr>
        <w:rFonts w:hint="default"/>
      </w:rPr>
    </w:lvl>
  </w:abstractNum>
  <w:abstractNum w:abstractNumId="10">
    <w:nsid w:val="94E08D13"/>
    <w:multiLevelType w:val="singleLevel"/>
    <w:tmpl w:val="94E08D13"/>
    <w:lvl w:ilvl="0" w:tentative="0">
      <w:start w:val="1"/>
      <w:numFmt w:val="chineseCounting"/>
      <w:suff w:val="nothing"/>
      <w:lvlText w:val="（%1）"/>
      <w:lvlJc w:val="left"/>
      <w:pPr>
        <w:ind w:left="0" w:firstLine="420"/>
      </w:pPr>
      <w:rPr>
        <w:rFonts w:hint="eastAsia"/>
      </w:rPr>
    </w:lvl>
  </w:abstractNum>
  <w:abstractNum w:abstractNumId="11">
    <w:nsid w:val="9522AD9F"/>
    <w:multiLevelType w:val="singleLevel"/>
    <w:tmpl w:val="9522AD9F"/>
    <w:lvl w:ilvl="0" w:tentative="0">
      <w:start w:val="1"/>
      <w:numFmt w:val="decimal"/>
      <w:lvlText w:val="%1."/>
      <w:lvlJc w:val="left"/>
      <w:pPr>
        <w:ind w:left="425" w:hanging="425"/>
      </w:pPr>
      <w:rPr>
        <w:rFonts w:hint="default"/>
      </w:rPr>
    </w:lvl>
  </w:abstractNum>
  <w:abstractNum w:abstractNumId="12">
    <w:nsid w:val="958C7BAF"/>
    <w:multiLevelType w:val="singleLevel"/>
    <w:tmpl w:val="958C7BAF"/>
    <w:lvl w:ilvl="0" w:tentative="0">
      <w:start w:val="1"/>
      <w:numFmt w:val="decimal"/>
      <w:suff w:val="nothing"/>
      <w:lvlText w:val="（%1）"/>
      <w:lvlJc w:val="left"/>
      <w:pPr>
        <w:ind w:left="0" w:firstLine="420"/>
      </w:pPr>
      <w:rPr>
        <w:rFonts w:hint="default"/>
      </w:rPr>
    </w:lvl>
  </w:abstractNum>
  <w:abstractNum w:abstractNumId="13">
    <w:nsid w:val="9870080C"/>
    <w:multiLevelType w:val="singleLevel"/>
    <w:tmpl w:val="9870080C"/>
    <w:lvl w:ilvl="0" w:tentative="0">
      <w:start w:val="1"/>
      <w:numFmt w:val="decimal"/>
      <w:lvlText w:val="%1."/>
      <w:lvlJc w:val="left"/>
      <w:pPr>
        <w:ind w:left="425" w:hanging="425"/>
      </w:pPr>
      <w:rPr>
        <w:rFonts w:hint="default"/>
      </w:rPr>
    </w:lvl>
  </w:abstractNum>
  <w:abstractNum w:abstractNumId="14">
    <w:nsid w:val="A040C747"/>
    <w:multiLevelType w:val="singleLevel"/>
    <w:tmpl w:val="A040C747"/>
    <w:lvl w:ilvl="0" w:tentative="0">
      <w:start w:val="1"/>
      <w:numFmt w:val="chineseCounting"/>
      <w:suff w:val="nothing"/>
      <w:lvlText w:val="（%1）"/>
      <w:lvlJc w:val="left"/>
      <w:pPr>
        <w:ind w:left="0" w:firstLine="420"/>
      </w:pPr>
      <w:rPr>
        <w:rFonts w:hint="eastAsia"/>
      </w:rPr>
    </w:lvl>
  </w:abstractNum>
  <w:abstractNum w:abstractNumId="15">
    <w:nsid w:val="A24116AA"/>
    <w:multiLevelType w:val="singleLevel"/>
    <w:tmpl w:val="A24116AA"/>
    <w:lvl w:ilvl="0" w:tentative="0">
      <w:start w:val="1"/>
      <w:numFmt w:val="decimal"/>
      <w:lvlText w:val="(%1)"/>
      <w:lvlJc w:val="left"/>
      <w:pPr>
        <w:ind w:left="425" w:hanging="425"/>
      </w:pPr>
      <w:rPr>
        <w:rFonts w:hint="default"/>
      </w:rPr>
    </w:lvl>
  </w:abstractNum>
  <w:abstractNum w:abstractNumId="16">
    <w:nsid w:val="A3C92242"/>
    <w:multiLevelType w:val="singleLevel"/>
    <w:tmpl w:val="A3C92242"/>
    <w:lvl w:ilvl="0" w:tentative="0">
      <w:start w:val="1"/>
      <w:numFmt w:val="decimal"/>
      <w:lvlText w:val="%1."/>
      <w:lvlJc w:val="left"/>
      <w:pPr>
        <w:ind w:left="425" w:hanging="425"/>
      </w:pPr>
      <w:rPr>
        <w:rFonts w:hint="default"/>
      </w:rPr>
    </w:lvl>
  </w:abstractNum>
  <w:abstractNum w:abstractNumId="17">
    <w:nsid w:val="A492C893"/>
    <w:multiLevelType w:val="singleLevel"/>
    <w:tmpl w:val="A492C893"/>
    <w:lvl w:ilvl="0" w:tentative="0">
      <w:start w:val="1"/>
      <w:numFmt w:val="decimal"/>
      <w:lvlText w:val="(%1)"/>
      <w:lvlJc w:val="left"/>
      <w:pPr>
        <w:ind w:left="425" w:hanging="425"/>
      </w:pPr>
      <w:rPr>
        <w:rFonts w:hint="default"/>
      </w:rPr>
    </w:lvl>
  </w:abstractNum>
  <w:abstractNum w:abstractNumId="18">
    <w:nsid w:val="A4E52907"/>
    <w:multiLevelType w:val="singleLevel"/>
    <w:tmpl w:val="A4E52907"/>
    <w:lvl w:ilvl="0" w:tentative="0">
      <w:start w:val="1"/>
      <w:numFmt w:val="chineseCounting"/>
      <w:suff w:val="nothing"/>
      <w:lvlText w:val="（%1）"/>
      <w:lvlJc w:val="left"/>
      <w:pPr>
        <w:ind w:left="0" w:firstLine="420"/>
      </w:pPr>
      <w:rPr>
        <w:rFonts w:hint="eastAsia"/>
      </w:rPr>
    </w:lvl>
  </w:abstractNum>
  <w:abstractNum w:abstractNumId="19">
    <w:nsid w:val="A5A3059A"/>
    <w:multiLevelType w:val="singleLevel"/>
    <w:tmpl w:val="A5A3059A"/>
    <w:lvl w:ilvl="0" w:tentative="0">
      <w:start w:val="1"/>
      <w:numFmt w:val="decimal"/>
      <w:lvlText w:val="%1."/>
      <w:lvlJc w:val="left"/>
      <w:pPr>
        <w:ind w:left="425" w:hanging="425"/>
      </w:pPr>
      <w:rPr>
        <w:rFonts w:hint="default"/>
      </w:rPr>
    </w:lvl>
  </w:abstractNum>
  <w:abstractNum w:abstractNumId="20">
    <w:nsid w:val="A602D260"/>
    <w:multiLevelType w:val="singleLevel"/>
    <w:tmpl w:val="A602D260"/>
    <w:lvl w:ilvl="0" w:tentative="0">
      <w:start w:val="1"/>
      <w:numFmt w:val="decimal"/>
      <w:lvlText w:val="%1."/>
      <w:lvlJc w:val="left"/>
      <w:pPr>
        <w:ind w:left="425" w:hanging="425"/>
      </w:pPr>
      <w:rPr>
        <w:rFonts w:hint="default"/>
      </w:rPr>
    </w:lvl>
  </w:abstractNum>
  <w:abstractNum w:abstractNumId="21">
    <w:nsid w:val="A6865578"/>
    <w:multiLevelType w:val="singleLevel"/>
    <w:tmpl w:val="A6865578"/>
    <w:lvl w:ilvl="0" w:tentative="0">
      <w:start w:val="1"/>
      <w:numFmt w:val="decimal"/>
      <w:lvlText w:val="(%1)"/>
      <w:lvlJc w:val="left"/>
      <w:pPr>
        <w:ind w:left="425" w:hanging="425"/>
      </w:pPr>
      <w:rPr>
        <w:rFonts w:hint="default"/>
      </w:rPr>
    </w:lvl>
  </w:abstractNum>
  <w:abstractNum w:abstractNumId="22">
    <w:nsid w:val="AB801DA0"/>
    <w:multiLevelType w:val="singleLevel"/>
    <w:tmpl w:val="AB801DA0"/>
    <w:lvl w:ilvl="0" w:tentative="0">
      <w:start w:val="1"/>
      <w:numFmt w:val="decimal"/>
      <w:lvlText w:val="(%1)"/>
      <w:lvlJc w:val="left"/>
      <w:pPr>
        <w:ind w:left="425" w:hanging="425"/>
      </w:pPr>
      <w:rPr>
        <w:rFonts w:hint="default"/>
      </w:rPr>
    </w:lvl>
  </w:abstractNum>
  <w:abstractNum w:abstractNumId="23">
    <w:nsid w:val="ADFA6CC3"/>
    <w:multiLevelType w:val="singleLevel"/>
    <w:tmpl w:val="ADFA6CC3"/>
    <w:lvl w:ilvl="0" w:tentative="0">
      <w:start w:val="1"/>
      <w:numFmt w:val="decimal"/>
      <w:lvlText w:val="%1."/>
      <w:lvlJc w:val="left"/>
      <w:pPr>
        <w:ind w:left="425" w:hanging="425"/>
      </w:pPr>
      <w:rPr>
        <w:rFonts w:hint="default"/>
      </w:rPr>
    </w:lvl>
  </w:abstractNum>
  <w:abstractNum w:abstractNumId="24">
    <w:nsid w:val="B0AB1B8D"/>
    <w:multiLevelType w:val="singleLevel"/>
    <w:tmpl w:val="B0AB1B8D"/>
    <w:lvl w:ilvl="0" w:tentative="0">
      <w:start w:val="1"/>
      <w:numFmt w:val="chineseCounting"/>
      <w:suff w:val="nothing"/>
      <w:lvlText w:val="（%1）"/>
      <w:lvlJc w:val="left"/>
      <w:pPr>
        <w:ind w:left="197" w:firstLine="420"/>
      </w:pPr>
      <w:rPr>
        <w:rFonts w:hint="eastAsia"/>
      </w:rPr>
    </w:lvl>
  </w:abstractNum>
  <w:abstractNum w:abstractNumId="25">
    <w:nsid w:val="B3752756"/>
    <w:multiLevelType w:val="singleLevel"/>
    <w:tmpl w:val="B3752756"/>
    <w:lvl w:ilvl="0" w:tentative="0">
      <w:start w:val="1"/>
      <w:numFmt w:val="decimal"/>
      <w:lvlText w:val="%1."/>
      <w:lvlJc w:val="left"/>
      <w:pPr>
        <w:ind w:left="425" w:hanging="425"/>
      </w:pPr>
      <w:rPr>
        <w:rFonts w:hint="default"/>
      </w:rPr>
    </w:lvl>
  </w:abstractNum>
  <w:abstractNum w:abstractNumId="26">
    <w:nsid w:val="B4BF1D34"/>
    <w:multiLevelType w:val="singleLevel"/>
    <w:tmpl w:val="B4BF1D34"/>
    <w:lvl w:ilvl="0" w:tentative="0">
      <w:start w:val="1"/>
      <w:numFmt w:val="decimal"/>
      <w:lvlText w:val="%1."/>
      <w:lvlJc w:val="left"/>
      <w:pPr>
        <w:ind w:left="425" w:hanging="425"/>
      </w:pPr>
      <w:rPr>
        <w:rFonts w:hint="default"/>
      </w:rPr>
    </w:lvl>
  </w:abstractNum>
  <w:abstractNum w:abstractNumId="27">
    <w:nsid w:val="B4D02B4C"/>
    <w:multiLevelType w:val="singleLevel"/>
    <w:tmpl w:val="B4D02B4C"/>
    <w:lvl w:ilvl="0" w:tentative="0">
      <w:start w:val="1"/>
      <w:numFmt w:val="chineseCounting"/>
      <w:suff w:val="nothing"/>
      <w:lvlText w:val="（%1）"/>
      <w:lvlJc w:val="left"/>
      <w:pPr>
        <w:ind w:left="0" w:firstLine="420"/>
      </w:pPr>
      <w:rPr>
        <w:rFonts w:hint="eastAsia"/>
      </w:rPr>
    </w:lvl>
  </w:abstractNum>
  <w:abstractNum w:abstractNumId="28">
    <w:nsid w:val="B642E26E"/>
    <w:multiLevelType w:val="singleLevel"/>
    <w:tmpl w:val="B642E26E"/>
    <w:lvl w:ilvl="0" w:tentative="0">
      <w:start w:val="1"/>
      <w:numFmt w:val="decimal"/>
      <w:lvlText w:val="(%1)"/>
      <w:lvlJc w:val="left"/>
      <w:pPr>
        <w:ind w:left="425" w:hanging="425"/>
      </w:pPr>
      <w:rPr>
        <w:rFonts w:hint="default"/>
      </w:rPr>
    </w:lvl>
  </w:abstractNum>
  <w:abstractNum w:abstractNumId="29">
    <w:nsid w:val="BDD56C26"/>
    <w:multiLevelType w:val="singleLevel"/>
    <w:tmpl w:val="BDD56C26"/>
    <w:lvl w:ilvl="0" w:tentative="0">
      <w:start w:val="1"/>
      <w:numFmt w:val="decimal"/>
      <w:lvlText w:val="%1."/>
      <w:lvlJc w:val="left"/>
      <w:pPr>
        <w:ind w:left="425" w:hanging="425"/>
      </w:pPr>
      <w:rPr>
        <w:rFonts w:hint="default"/>
      </w:rPr>
    </w:lvl>
  </w:abstractNum>
  <w:abstractNum w:abstractNumId="30">
    <w:nsid w:val="C022C5BE"/>
    <w:multiLevelType w:val="singleLevel"/>
    <w:tmpl w:val="C022C5BE"/>
    <w:lvl w:ilvl="0" w:tentative="0">
      <w:start w:val="1"/>
      <w:numFmt w:val="decimal"/>
      <w:lvlText w:val="(%1)"/>
      <w:lvlJc w:val="left"/>
      <w:pPr>
        <w:ind w:left="425" w:hanging="425"/>
      </w:pPr>
      <w:rPr>
        <w:rFonts w:hint="default"/>
      </w:rPr>
    </w:lvl>
  </w:abstractNum>
  <w:abstractNum w:abstractNumId="31">
    <w:nsid w:val="C0F70C7F"/>
    <w:multiLevelType w:val="singleLevel"/>
    <w:tmpl w:val="C0F70C7F"/>
    <w:lvl w:ilvl="0" w:tentative="0">
      <w:start w:val="1"/>
      <w:numFmt w:val="chineseCounting"/>
      <w:suff w:val="nothing"/>
      <w:lvlText w:val="%1、"/>
      <w:lvlJc w:val="left"/>
      <w:pPr>
        <w:ind w:left="0" w:firstLine="420"/>
      </w:pPr>
      <w:rPr>
        <w:rFonts w:hint="eastAsia"/>
      </w:rPr>
    </w:lvl>
  </w:abstractNum>
  <w:abstractNum w:abstractNumId="32">
    <w:nsid w:val="C47AD02D"/>
    <w:multiLevelType w:val="singleLevel"/>
    <w:tmpl w:val="C47AD02D"/>
    <w:lvl w:ilvl="0" w:tentative="0">
      <w:start w:val="1"/>
      <w:numFmt w:val="decimal"/>
      <w:lvlText w:val="%1."/>
      <w:lvlJc w:val="left"/>
      <w:pPr>
        <w:ind w:left="425" w:hanging="425"/>
      </w:pPr>
      <w:rPr>
        <w:rFonts w:hint="default"/>
      </w:rPr>
    </w:lvl>
  </w:abstractNum>
  <w:abstractNum w:abstractNumId="33">
    <w:nsid w:val="C5ACD5D8"/>
    <w:multiLevelType w:val="singleLevel"/>
    <w:tmpl w:val="C5ACD5D8"/>
    <w:lvl w:ilvl="0" w:tentative="0">
      <w:start w:val="1"/>
      <w:numFmt w:val="decimal"/>
      <w:lvlText w:val="(%1)"/>
      <w:lvlJc w:val="left"/>
      <w:pPr>
        <w:ind w:left="425" w:hanging="425"/>
      </w:pPr>
      <w:rPr>
        <w:rFonts w:hint="default"/>
      </w:rPr>
    </w:lvl>
  </w:abstractNum>
  <w:abstractNum w:abstractNumId="34">
    <w:nsid w:val="C690EAD7"/>
    <w:multiLevelType w:val="singleLevel"/>
    <w:tmpl w:val="C690EAD7"/>
    <w:lvl w:ilvl="0" w:tentative="0">
      <w:start w:val="1"/>
      <w:numFmt w:val="decimal"/>
      <w:lvlText w:val="%1."/>
      <w:lvlJc w:val="left"/>
      <w:pPr>
        <w:ind w:left="425" w:hanging="425"/>
      </w:pPr>
      <w:rPr>
        <w:rFonts w:hint="default"/>
      </w:rPr>
    </w:lvl>
  </w:abstractNum>
  <w:abstractNum w:abstractNumId="35">
    <w:nsid w:val="C69A8482"/>
    <w:multiLevelType w:val="singleLevel"/>
    <w:tmpl w:val="C69A8482"/>
    <w:lvl w:ilvl="0" w:tentative="0">
      <w:start w:val="1"/>
      <w:numFmt w:val="chineseCounting"/>
      <w:suff w:val="nothing"/>
      <w:lvlText w:val="（%1）"/>
      <w:lvlJc w:val="left"/>
      <w:pPr>
        <w:ind w:left="0" w:firstLine="420"/>
      </w:pPr>
      <w:rPr>
        <w:rFonts w:hint="eastAsia"/>
      </w:rPr>
    </w:lvl>
  </w:abstractNum>
  <w:abstractNum w:abstractNumId="36">
    <w:nsid w:val="C90AEE23"/>
    <w:multiLevelType w:val="singleLevel"/>
    <w:tmpl w:val="C90AEE23"/>
    <w:lvl w:ilvl="0" w:tentative="0">
      <w:start w:val="1"/>
      <w:numFmt w:val="decimal"/>
      <w:lvlText w:val="(%1)"/>
      <w:lvlJc w:val="left"/>
      <w:pPr>
        <w:ind w:left="425" w:hanging="425"/>
      </w:pPr>
      <w:rPr>
        <w:rFonts w:hint="default"/>
      </w:rPr>
    </w:lvl>
  </w:abstractNum>
  <w:abstractNum w:abstractNumId="37">
    <w:nsid w:val="CBA275FD"/>
    <w:multiLevelType w:val="singleLevel"/>
    <w:tmpl w:val="CBA275FD"/>
    <w:lvl w:ilvl="0" w:tentative="0">
      <w:start w:val="1"/>
      <w:numFmt w:val="decimal"/>
      <w:lvlText w:val="%1."/>
      <w:lvlJc w:val="left"/>
      <w:pPr>
        <w:ind w:left="425" w:hanging="425"/>
      </w:pPr>
      <w:rPr>
        <w:rFonts w:hint="default"/>
      </w:rPr>
    </w:lvl>
  </w:abstractNum>
  <w:abstractNum w:abstractNumId="38">
    <w:nsid w:val="CE21935E"/>
    <w:multiLevelType w:val="singleLevel"/>
    <w:tmpl w:val="CE21935E"/>
    <w:lvl w:ilvl="0" w:tentative="0">
      <w:start w:val="1"/>
      <w:numFmt w:val="decimal"/>
      <w:lvlText w:val="(%1)"/>
      <w:lvlJc w:val="left"/>
      <w:pPr>
        <w:ind w:left="425" w:hanging="425"/>
      </w:pPr>
      <w:rPr>
        <w:rFonts w:hint="default"/>
      </w:rPr>
    </w:lvl>
  </w:abstractNum>
  <w:abstractNum w:abstractNumId="39">
    <w:nsid w:val="CE642A1F"/>
    <w:multiLevelType w:val="singleLevel"/>
    <w:tmpl w:val="CE642A1F"/>
    <w:lvl w:ilvl="0" w:tentative="0">
      <w:start w:val="1"/>
      <w:numFmt w:val="decimal"/>
      <w:lvlText w:val="%1."/>
      <w:lvlJc w:val="left"/>
      <w:pPr>
        <w:ind w:left="425" w:hanging="425"/>
      </w:pPr>
      <w:rPr>
        <w:rFonts w:hint="default"/>
      </w:rPr>
    </w:lvl>
  </w:abstractNum>
  <w:abstractNum w:abstractNumId="40">
    <w:nsid w:val="CE690175"/>
    <w:multiLevelType w:val="singleLevel"/>
    <w:tmpl w:val="CE690175"/>
    <w:lvl w:ilvl="0" w:tentative="0">
      <w:start w:val="1"/>
      <w:numFmt w:val="decimal"/>
      <w:lvlText w:val="(%1)"/>
      <w:lvlJc w:val="left"/>
      <w:pPr>
        <w:ind w:left="425" w:hanging="425"/>
      </w:pPr>
      <w:rPr>
        <w:rFonts w:hint="default"/>
      </w:rPr>
    </w:lvl>
  </w:abstractNum>
  <w:abstractNum w:abstractNumId="41">
    <w:nsid w:val="CF06599E"/>
    <w:multiLevelType w:val="singleLevel"/>
    <w:tmpl w:val="CF06599E"/>
    <w:lvl w:ilvl="0" w:tentative="0">
      <w:start w:val="1"/>
      <w:numFmt w:val="decimal"/>
      <w:lvlText w:val="%1."/>
      <w:lvlJc w:val="left"/>
      <w:pPr>
        <w:ind w:left="425" w:hanging="425"/>
      </w:pPr>
      <w:rPr>
        <w:rFonts w:hint="default"/>
      </w:rPr>
    </w:lvl>
  </w:abstractNum>
  <w:abstractNum w:abstractNumId="42">
    <w:nsid w:val="D2137BF0"/>
    <w:multiLevelType w:val="singleLevel"/>
    <w:tmpl w:val="D2137BF0"/>
    <w:lvl w:ilvl="0" w:tentative="0">
      <w:start w:val="1"/>
      <w:numFmt w:val="decimal"/>
      <w:lvlText w:val="(%1)"/>
      <w:lvlJc w:val="left"/>
      <w:pPr>
        <w:ind w:left="425" w:hanging="425"/>
      </w:pPr>
      <w:rPr>
        <w:rFonts w:hint="default"/>
      </w:rPr>
    </w:lvl>
  </w:abstractNum>
  <w:abstractNum w:abstractNumId="43">
    <w:nsid w:val="D5E48953"/>
    <w:multiLevelType w:val="singleLevel"/>
    <w:tmpl w:val="D5E48953"/>
    <w:lvl w:ilvl="0" w:tentative="0">
      <w:start w:val="1"/>
      <w:numFmt w:val="decimal"/>
      <w:lvlText w:val="(%1)"/>
      <w:lvlJc w:val="left"/>
      <w:pPr>
        <w:ind w:left="425" w:hanging="425"/>
      </w:pPr>
      <w:rPr>
        <w:rFonts w:hint="default"/>
      </w:rPr>
    </w:lvl>
  </w:abstractNum>
  <w:abstractNum w:abstractNumId="44">
    <w:nsid w:val="DA255092"/>
    <w:multiLevelType w:val="singleLevel"/>
    <w:tmpl w:val="DA255092"/>
    <w:lvl w:ilvl="0" w:tentative="0">
      <w:start w:val="1"/>
      <w:numFmt w:val="chineseCounting"/>
      <w:suff w:val="nothing"/>
      <w:lvlText w:val="（%1）"/>
      <w:lvlJc w:val="left"/>
      <w:pPr>
        <w:ind w:left="197" w:firstLine="420"/>
      </w:pPr>
      <w:rPr>
        <w:rFonts w:hint="eastAsia"/>
      </w:rPr>
    </w:lvl>
  </w:abstractNum>
  <w:abstractNum w:abstractNumId="45">
    <w:nsid w:val="DB489959"/>
    <w:multiLevelType w:val="singleLevel"/>
    <w:tmpl w:val="DB489959"/>
    <w:lvl w:ilvl="0" w:tentative="0">
      <w:start w:val="1"/>
      <w:numFmt w:val="decimal"/>
      <w:lvlText w:val="%1."/>
      <w:lvlJc w:val="left"/>
      <w:pPr>
        <w:ind w:left="425" w:hanging="425"/>
      </w:pPr>
      <w:rPr>
        <w:rFonts w:hint="default"/>
      </w:rPr>
    </w:lvl>
  </w:abstractNum>
  <w:abstractNum w:abstractNumId="46">
    <w:nsid w:val="DBFAB5B8"/>
    <w:multiLevelType w:val="singleLevel"/>
    <w:tmpl w:val="DBFAB5B8"/>
    <w:lvl w:ilvl="0" w:tentative="0">
      <w:start w:val="1"/>
      <w:numFmt w:val="decimal"/>
      <w:lvlText w:val="%1."/>
      <w:lvlJc w:val="left"/>
      <w:pPr>
        <w:ind w:left="425" w:hanging="425"/>
      </w:pPr>
      <w:rPr>
        <w:rFonts w:hint="default"/>
      </w:rPr>
    </w:lvl>
  </w:abstractNum>
  <w:abstractNum w:abstractNumId="47">
    <w:nsid w:val="DF11D07E"/>
    <w:multiLevelType w:val="singleLevel"/>
    <w:tmpl w:val="DF11D07E"/>
    <w:lvl w:ilvl="0" w:tentative="0">
      <w:start w:val="1"/>
      <w:numFmt w:val="decimal"/>
      <w:lvlText w:val="(%1)"/>
      <w:lvlJc w:val="left"/>
      <w:pPr>
        <w:ind w:left="425" w:hanging="425"/>
      </w:pPr>
      <w:rPr>
        <w:rFonts w:hint="default"/>
      </w:rPr>
    </w:lvl>
  </w:abstractNum>
  <w:abstractNum w:abstractNumId="48">
    <w:nsid w:val="E3E34E8E"/>
    <w:multiLevelType w:val="singleLevel"/>
    <w:tmpl w:val="E3E34E8E"/>
    <w:lvl w:ilvl="0" w:tentative="0">
      <w:start w:val="1"/>
      <w:numFmt w:val="decimal"/>
      <w:lvlText w:val="(%1)"/>
      <w:lvlJc w:val="left"/>
      <w:pPr>
        <w:ind w:left="425" w:hanging="425"/>
      </w:pPr>
      <w:rPr>
        <w:rFonts w:hint="default"/>
      </w:rPr>
    </w:lvl>
  </w:abstractNum>
  <w:abstractNum w:abstractNumId="49">
    <w:nsid w:val="E66DB034"/>
    <w:multiLevelType w:val="singleLevel"/>
    <w:tmpl w:val="E66DB034"/>
    <w:lvl w:ilvl="0" w:tentative="0">
      <w:start w:val="1"/>
      <w:numFmt w:val="decimal"/>
      <w:lvlText w:val="%1."/>
      <w:lvlJc w:val="left"/>
      <w:pPr>
        <w:ind w:left="425" w:hanging="425"/>
      </w:pPr>
      <w:rPr>
        <w:rFonts w:hint="default"/>
      </w:rPr>
    </w:lvl>
  </w:abstractNum>
  <w:abstractNum w:abstractNumId="50">
    <w:nsid w:val="E6E76AC4"/>
    <w:multiLevelType w:val="singleLevel"/>
    <w:tmpl w:val="E6E76AC4"/>
    <w:lvl w:ilvl="0" w:tentative="0">
      <w:start w:val="1"/>
      <w:numFmt w:val="decimal"/>
      <w:lvlText w:val="(%1)"/>
      <w:lvlJc w:val="left"/>
      <w:pPr>
        <w:ind w:left="425" w:hanging="425"/>
      </w:pPr>
      <w:rPr>
        <w:rFonts w:hint="default"/>
      </w:rPr>
    </w:lvl>
  </w:abstractNum>
  <w:abstractNum w:abstractNumId="51">
    <w:nsid w:val="EA1F14F4"/>
    <w:multiLevelType w:val="singleLevel"/>
    <w:tmpl w:val="EA1F14F4"/>
    <w:lvl w:ilvl="0" w:tentative="0">
      <w:start w:val="1"/>
      <w:numFmt w:val="decimal"/>
      <w:lvlText w:val="(%1)"/>
      <w:lvlJc w:val="left"/>
      <w:pPr>
        <w:ind w:left="425" w:hanging="425"/>
      </w:pPr>
      <w:rPr>
        <w:rFonts w:hint="default"/>
      </w:rPr>
    </w:lvl>
  </w:abstractNum>
  <w:abstractNum w:abstractNumId="52">
    <w:nsid w:val="ECF6E674"/>
    <w:multiLevelType w:val="singleLevel"/>
    <w:tmpl w:val="ECF6E674"/>
    <w:lvl w:ilvl="0" w:tentative="0">
      <w:start w:val="1"/>
      <w:numFmt w:val="decimal"/>
      <w:lvlText w:val="%1."/>
      <w:lvlJc w:val="left"/>
      <w:pPr>
        <w:ind w:left="425" w:hanging="425"/>
      </w:pPr>
      <w:rPr>
        <w:rFonts w:hint="default"/>
      </w:rPr>
    </w:lvl>
  </w:abstractNum>
  <w:abstractNum w:abstractNumId="53">
    <w:nsid w:val="EFB6202B"/>
    <w:multiLevelType w:val="singleLevel"/>
    <w:tmpl w:val="EFB6202B"/>
    <w:lvl w:ilvl="0" w:tentative="0">
      <w:start w:val="1"/>
      <w:numFmt w:val="chineseCounting"/>
      <w:suff w:val="nothing"/>
      <w:lvlText w:val="（%1）"/>
      <w:lvlJc w:val="left"/>
      <w:pPr>
        <w:ind w:left="0" w:firstLine="420"/>
      </w:pPr>
      <w:rPr>
        <w:rFonts w:hint="eastAsia"/>
      </w:rPr>
    </w:lvl>
  </w:abstractNum>
  <w:abstractNum w:abstractNumId="54">
    <w:nsid w:val="F4824F36"/>
    <w:multiLevelType w:val="multilevel"/>
    <w:tmpl w:val="F4824F36"/>
    <w:lvl w:ilvl="0" w:tentative="0">
      <w:start w:val="1"/>
      <w:numFmt w:val="chineseCountingThousand"/>
      <w:lvlText w:val="%1、"/>
      <w:lvlJc w:val="left"/>
      <w:pPr>
        <w:tabs>
          <w:tab w:val="left" w:pos="420"/>
        </w:tabs>
        <w:ind w:left="420" w:hanging="420"/>
      </w:pPr>
      <w:rPr>
        <w:rFonts w:hint="eastAsia"/>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55">
    <w:nsid w:val="F54D527C"/>
    <w:multiLevelType w:val="singleLevel"/>
    <w:tmpl w:val="F54D527C"/>
    <w:lvl w:ilvl="0" w:tentative="0">
      <w:start w:val="1"/>
      <w:numFmt w:val="decimal"/>
      <w:suff w:val="nothing"/>
      <w:lvlText w:val="(%1)"/>
      <w:lvlJc w:val="left"/>
      <w:pPr>
        <w:ind w:left="454" w:hanging="454"/>
      </w:pPr>
      <w:rPr>
        <w:rFonts w:hint="default"/>
      </w:rPr>
    </w:lvl>
  </w:abstractNum>
  <w:abstractNum w:abstractNumId="56">
    <w:nsid w:val="F83CDD12"/>
    <w:multiLevelType w:val="singleLevel"/>
    <w:tmpl w:val="F83CDD12"/>
    <w:lvl w:ilvl="0" w:tentative="0">
      <w:start w:val="1"/>
      <w:numFmt w:val="decimal"/>
      <w:lvlText w:val="(%1)"/>
      <w:lvlJc w:val="left"/>
      <w:pPr>
        <w:ind w:left="425" w:hanging="425"/>
      </w:pPr>
      <w:rPr>
        <w:rFonts w:hint="default"/>
      </w:rPr>
    </w:lvl>
  </w:abstractNum>
  <w:abstractNum w:abstractNumId="57">
    <w:nsid w:val="FB04254E"/>
    <w:multiLevelType w:val="singleLevel"/>
    <w:tmpl w:val="FB04254E"/>
    <w:lvl w:ilvl="0" w:tentative="0">
      <w:start w:val="1"/>
      <w:numFmt w:val="decimal"/>
      <w:lvlText w:val="%1."/>
      <w:lvlJc w:val="left"/>
      <w:pPr>
        <w:ind w:left="425" w:hanging="425"/>
      </w:pPr>
      <w:rPr>
        <w:rFonts w:hint="default"/>
      </w:rPr>
    </w:lvl>
  </w:abstractNum>
  <w:abstractNum w:abstractNumId="58">
    <w:nsid w:val="FD764690"/>
    <w:multiLevelType w:val="singleLevel"/>
    <w:tmpl w:val="FD764690"/>
    <w:lvl w:ilvl="0" w:tentative="0">
      <w:start w:val="1"/>
      <w:numFmt w:val="decimal"/>
      <w:lvlText w:val="%1."/>
      <w:lvlJc w:val="left"/>
      <w:pPr>
        <w:ind w:left="425" w:hanging="425"/>
      </w:pPr>
      <w:rPr>
        <w:rFonts w:hint="default"/>
      </w:rPr>
    </w:lvl>
  </w:abstractNum>
  <w:abstractNum w:abstractNumId="59">
    <w:nsid w:val="0000001E"/>
    <w:multiLevelType w:val="multilevel"/>
    <w:tmpl w:val="0000001E"/>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default" w:ascii="宋体" w:hAnsi="宋体" w:eastAsia="宋体" w:cs="Times New Roman"/>
        <w:b w:val="0"/>
        <w:dstrike w:val="0"/>
      </w:rPr>
    </w:lvl>
    <w:lvl w:ilvl="2" w:tentative="0">
      <w:start w:val="1"/>
      <w:numFmt w:val="decimal"/>
      <w:lvlText w:val="%1.%2.%3"/>
      <w:lvlJc w:val="left"/>
      <w:pPr>
        <w:tabs>
          <w:tab w:val="left" w:pos="851"/>
        </w:tabs>
        <w:ind w:left="851" w:hanging="851"/>
      </w:pPr>
      <w:rPr>
        <w:rFonts w:hint="default" w:ascii="宋体" w:hAnsi="宋体" w:eastAsia="宋体" w:cs="Times New Roman"/>
        <w:sz w:val="21"/>
        <w:szCs w:val="21"/>
      </w:rPr>
    </w:lvl>
    <w:lvl w:ilvl="3" w:tentative="0">
      <w:start w:val="1"/>
      <w:numFmt w:val="decimal"/>
      <w:lvlText w:val="%1.%2.%3.%4"/>
      <w:lvlJc w:val="left"/>
      <w:pPr>
        <w:tabs>
          <w:tab w:val="left" w:pos="851"/>
        </w:tabs>
        <w:ind w:left="851" w:hanging="851"/>
      </w:pPr>
      <w:rPr>
        <w:rFonts w:hint="eastAsia"/>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0">
    <w:nsid w:val="08F70496"/>
    <w:multiLevelType w:val="singleLevel"/>
    <w:tmpl w:val="08F70496"/>
    <w:lvl w:ilvl="0" w:tentative="0">
      <w:start w:val="1"/>
      <w:numFmt w:val="decimal"/>
      <w:lvlText w:val="%1."/>
      <w:lvlJc w:val="left"/>
      <w:pPr>
        <w:ind w:left="425" w:hanging="425"/>
      </w:pPr>
      <w:rPr>
        <w:rFonts w:hint="default"/>
      </w:rPr>
    </w:lvl>
  </w:abstractNum>
  <w:abstractNum w:abstractNumId="61">
    <w:nsid w:val="0A91FEAF"/>
    <w:multiLevelType w:val="singleLevel"/>
    <w:tmpl w:val="0A91FEAF"/>
    <w:lvl w:ilvl="0" w:tentative="0">
      <w:start w:val="1"/>
      <w:numFmt w:val="chineseCounting"/>
      <w:suff w:val="nothing"/>
      <w:lvlText w:val="（%1）"/>
      <w:lvlJc w:val="left"/>
      <w:pPr>
        <w:ind w:left="0" w:firstLine="420"/>
      </w:pPr>
      <w:rPr>
        <w:rFonts w:hint="eastAsia"/>
      </w:rPr>
    </w:lvl>
  </w:abstractNum>
  <w:abstractNum w:abstractNumId="62">
    <w:nsid w:val="0D4B1B9F"/>
    <w:multiLevelType w:val="multilevel"/>
    <w:tmpl w:val="0D4B1B9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0D6638A3"/>
    <w:multiLevelType w:val="singleLevel"/>
    <w:tmpl w:val="0D6638A3"/>
    <w:lvl w:ilvl="0" w:tentative="0">
      <w:start w:val="1"/>
      <w:numFmt w:val="bullet"/>
      <w:pStyle w:val="54"/>
      <w:lvlText w:val=""/>
      <w:lvlJc w:val="left"/>
      <w:pPr>
        <w:tabs>
          <w:tab w:val="left" w:pos="425"/>
        </w:tabs>
        <w:ind w:left="425" w:hanging="425"/>
      </w:pPr>
      <w:rPr>
        <w:rFonts w:hint="default" w:ascii="Symbol" w:hAnsi="Symbol"/>
      </w:rPr>
    </w:lvl>
  </w:abstractNum>
  <w:abstractNum w:abstractNumId="64">
    <w:nsid w:val="0E2FDA73"/>
    <w:multiLevelType w:val="multilevel"/>
    <w:tmpl w:val="0E2FDA73"/>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5">
    <w:nsid w:val="10B2D7B6"/>
    <w:multiLevelType w:val="singleLevel"/>
    <w:tmpl w:val="10B2D7B6"/>
    <w:lvl w:ilvl="0" w:tentative="0">
      <w:start w:val="1"/>
      <w:numFmt w:val="decimal"/>
      <w:lvlText w:val="(%1)"/>
      <w:lvlJc w:val="left"/>
      <w:pPr>
        <w:ind w:left="425" w:hanging="425"/>
      </w:pPr>
      <w:rPr>
        <w:rFonts w:hint="default"/>
      </w:rPr>
    </w:lvl>
  </w:abstractNum>
  <w:abstractNum w:abstractNumId="66">
    <w:nsid w:val="11CF9087"/>
    <w:multiLevelType w:val="singleLevel"/>
    <w:tmpl w:val="11CF9087"/>
    <w:lvl w:ilvl="0" w:tentative="0">
      <w:start w:val="1"/>
      <w:numFmt w:val="decimal"/>
      <w:lvlText w:val="%1."/>
      <w:lvlJc w:val="left"/>
      <w:pPr>
        <w:ind w:left="425" w:hanging="425"/>
      </w:pPr>
      <w:rPr>
        <w:rFonts w:hint="default"/>
      </w:rPr>
    </w:lvl>
  </w:abstractNum>
  <w:abstractNum w:abstractNumId="67">
    <w:nsid w:val="1213CB6E"/>
    <w:multiLevelType w:val="singleLevel"/>
    <w:tmpl w:val="1213CB6E"/>
    <w:lvl w:ilvl="0" w:tentative="0">
      <w:start w:val="1"/>
      <w:numFmt w:val="decimal"/>
      <w:lvlText w:val="%1"/>
      <w:lvlJc w:val="left"/>
      <w:pPr>
        <w:tabs>
          <w:tab w:val="left" w:pos="420"/>
        </w:tabs>
        <w:ind w:left="425" w:hanging="425"/>
      </w:pPr>
      <w:rPr>
        <w:rFonts w:hint="default"/>
      </w:rPr>
    </w:lvl>
  </w:abstractNum>
  <w:abstractNum w:abstractNumId="68">
    <w:nsid w:val="129E2559"/>
    <w:multiLevelType w:val="singleLevel"/>
    <w:tmpl w:val="129E2559"/>
    <w:lvl w:ilvl="0" w:tentative="0">
      <w:start w:val="1"/>
      <w:numFmt w:val="decimal"/>
      <w:lvlText w:val="%1."/>
      <w:lvlJc w:val="left"/>
      <w:pPr>
        <w:ind w:left="425" w:hanging="425"/>
      </w:pPr>
      <w:rPr>
        <w:rFonts w:hint="default"/>
      </w:rPr>
    </w:lvl>
  </w:abstractNum>
  <w:abstractNum w:abstractNumId="69">
    <w:nsid w:val="1351F188"/>
    <w:multiLevelType w:val="singleLevel"/>
    <w:tmpl w:val="1351F188"/>
    <w:lvl w:ilvl="0" w:tentative="0">
      <w:start w:val="1"/>
      <w:numFmt w:val="decimal"/>
      <w:lvlText w:val="%1."/>
      <w:lvlJc w:val="left"/>
      <w:pPr>
        <w:ind w:left="425" w:hanging="425"/>
      </w:pPr>
      <w:rPr>
        <w:rFonts w:hint="default"/>
      </w:rPr>
    </w:lvl>
  </w:abstractNum>
  <w:abstractNum w:abstractNumId="70">
    <w:nsid w:val="13C34E09"/>
    <w:multiLevelType w:val="multilevel"/>
    <w:tmpl w:val="13C34E09"/>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1">
    <w:nsid w:val="15A8D30D"/>
    <w:multiLevelType w:val="singleLevel"/>
    <w:tmpl w:val="15A8D30D"/>
    <w:lvl w:ilvl="0" w:tentative="0">
      <w:start w:val="1"/>
      <w:numFmt w:val="decimal"/>
      <w:lvlText w:val="%1."/>
      <w:lvlJc w:val="left"/>
      <w:pPr>
        <w:ind w:left="425" w:hanging="425"/>
      </w:pPr>
      <w:rPr>
        <w:rFonts w:hint="default"/>
      </w:rPr>
    </w:lvl>
  </w:abstractNum>
  <w:abstractNum w:abstractNumId="72">
    <w:nsid w:val="174E7B9A"/>
    <w:multiLevelType w:val="singleLevel"/>
    <w:tmpl w:val="174E7B9A"/>
    <w:lvl w:ilvl="0" w:tentative="0">
      <w:start w:val="1"/>
      <w:numFmt w:val="decimal"/>
      <w:lvlText w:val="(%1)"/>
      <w:lvlJc w:val="left"/>
      <w:pPr>
        <w:ind w:left="425" w:hanging="425"/>
      </w:pPr>
      <w:rPr>
        <w:rFonts w:hint="default"/>
      </w:rPr>
    </w:lvl>
  </w:abstractNum>
  <w:abstractNum w:abstractNumId="73">
    <w:nsid w:val="17EA03E7"/>
    <w:multiLevelType w:val="singleLevel"/>
    <w:tmpl w:val="17EA03E7"/>
    <w:lvl w:ilvl="0" w:tentative="0">
      <w:start w:val="1"/>
      <w:numFmt w:val="decimal"/>
      <w:lvlText w:val="%1."/>
      <w:lvlJc w:val="left"/>
      <w:pPr>
        <w:ind w:left="425" w:hanging="425"/>
      </w:pPr>
      <w:rPr>
        <w:rFonts w:hint="default"/>
      </w:rPr>
    </w:lvl>
  </w:abstractNum>
  <w:abstractNum w:abstractNumId="74">
    <w:nsid w:val="18A58246"/>
    <w:multiLevelType w:val="singleLevel"/>
    <w:tmpl w:val="18A58246"/>
    <w:lvl w:ilvl="0" w:tentative="0">
      <w:start w:val="1"/>
      <w:numFmt w:val="decimal"/>
      <w:lvlText w:val="%1."/>
      <w:lvlJc w:val="left"/>
      <w:pPr>
        <w:ind w:left="425" w:hanging="425"/>
      </w:pPr>
      <w:rPr>
        <w:rFonts w:hint="default"/>
        <w:color w:val="auto"/>
      </w:rPr>
    </w:lvl>
  </w:abstractNum>
  <w:abstractNum w:abstractNumId="75">
    <w:nsid w:val="194A7771"/>
    <w:multiLevelType w:val="singleLevel"/>
    <w:tmpl w:val="194A7771"/>
    <w:lvl w:ilvl="0" w:tentative="0">
      <w:start w:val="1"/>
      <w:numFmt w:val="chineseCounting"/>
      <w:suff w:val="nothing"/>
      <w:lvlText w:val="（%1）"/>
      <w:lvlJc w:val="left"/>
      <w:pPr>
        <w:ind w:left="197" w:firstLine="420"/>
      </w:pPr>
      <w:rPr>
        <w:rFonts w:hint="eastAsia"/>
      </w:rPr>
    </w:lvl>
  </w:abstractNum>
  <w:abstractNum w:abstractNumId="76">
    <w:nsid w:val="19B76A75"/>
    <w:multiLevelType w:val="singleLevel"/>
    <w:tmpl w:val="19B76A75"/>
    <w:lvl w:ilvl="0" w:tentative="0">
      <w:start w:val="1"/>
      <w:numFmt w:val="decimal"/>
      <w:lvlText w:val="(%1)"/>
      <w:lvlJc w:val="left"/>
      <w:pPr>
        <w:ind w:left="425" w:hanging="425"/>
      </w:pPr>
      <w:rPr>
        <w:rFonts w:hint="default"/>
      </w:rPr>
    </w:lvl>
  </w:abstractNum>
  <w:abstractNum w:abstractNumId="77">
    <w:nsid w:val="19CCF707"/>
    <w:multiLevelType w:val="singleLevel"/>
    <w:tmpl w:val="19CCF707"/>
    <w:lvl w:ilvl="0" w:tentative="0">
      <w:start w:val="1"/>
      <w:numFmt w:val="decimal"/>
      <w:lvlText w:val="(%1)"/>
      <w:lvlJc w:val="left"/>
      <w:pPr>
        <w:ind w:left="425" w:hanging="425"/>
      </w:pPr>
      <w:rPr>
        <w:rFonts w:hint="default"/>
      </w:rPr>
    </w:lvl>
  </w:abstractNum>
  <w:abstractNum w:abstractNumId="78">
    <w:nsid w:val="1BC31889"/>
    <w:multiLevelType w:val="singleLevel"/>
    <w:tmpl w:val="1BC31889"/>
    <w:lvl w:ilvl="0" w:tentative="0">
      <w:start w:val="1"/>
      <w:numFmt w:val="decimal"/>
      <w:lvlText w:val="%1."/>
      <w:lvlJc w:val="left"/>
      <w:pPr>
        <w:ind w:left="425" w:hanging="425"/>
      </w:pPr>
      <w:rPr>
        <w:rFonts w:hint="default"/>
      </w:rPr>
    </w:lvl>
  </w:abstractNum>
  <w:abstractNum w:abstractNumId="79">
    <w:nsid w:val="1CDF3E21"/>
    <w:multiLevelType w:val="multilevel"/>
    <w:tmpl w:val="1CDF3E21"/>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0">
    <w:nsid w:val="1CFD37B2"/>
    <w:multiLevelType w:val="singleLevel"/>
    <w:tmpl w:val="1CFD37B2"/>
    <w:lvl w:ilvl="0" w:tentative="0">
      <w:start w:val="1"/>
      <w:numFmt w:val="decimal"/>
      <w:lvlText w:val="%1."/>
      <w:lvlJc w:val="left"/>
      <w:pPr>
        <w:ind w:left="425" w:hanging="425"/>
      </w:pPr>
      <w:rPr>
        <w:rFonts w:hint="default"/>
      </w:rPr>
    </w:lvl>
  </w:abstractNum>
  <w:abstractNum w:abstractNumId="81">
    <w:nsid w:val="24212C01"/>
    <w:multiLevelType w:val="multilevel"/>
    <w:tmpl w:val="24212C01"/>
    <w:lvl w:ilvl="0" w:tentative="0">
      <w:start w:val="1"/>
      <w:numFmt w:val="chineseCountingThousand"/>
      <w:lvlText w:val="%1、"/>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eastAsia" w:ascii="宋体" w:hAnsi="宋体" w:eastAsia="宋体"/>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2">
    <w:nsid w:val="251F478D"/>
    <w:multiLevelType w:val="singleLevel"/>
    <w:tmpl w:val="251F478D"/>
    <w:lvl w:ilvl="0" w:tentative="0">
      <w:start w:val="1"/>
      <w:numFmt w:val="decimal"/>
      <w:lvlText w:val="%1."/>
      <w:lvlJc w:val="left"/>
      <w:pPr>
        <w:ind w:left="425" w:hanging="425"/>
      </w:pPr>
      <w:rPr>
        <w:rFonts w:hint="default"/>
      </w:rPr>
    </w:lvl>
  </w:abstractNum>
  <w:abstractNum w:abstractNumId="83">
    <w:nsid w:val="2553E367"/>
    <w:multiLevelType w:val="singleLevel"/>
    <w:tmpl w:val="2553E367"/>
    <w:lvl w:ilvl="0" w:tentative="0">
      <w:start w:val="1"/>
      <w:numFmt w:val="decimal"/>
      <w:lvlText w:val="%1."/>
      <w:lvlJc w:val="left"/>
      <w:pPr>
        <w:ind w:left="425" w:hanging="425"/>
      </w:pPr>
      <w:rPr>
        <w:rFonts w:hint="default"/>
      </w:rPr>
    </w:lvl>
  </w:abstractNum>
  <w:abstractNum w:abstractNumId="84">
    <w:nsid w:val="2671C7A2"/>
    <w:multiLevelType w:val="singleLevel"/>
    <w:tmpl w:val="2671C7A2"/>
    <w:lvl w:ilvl="0" w:tentative="0">
      <w:start w:val="1"/>
      <w:numFmt w:val="decimal"/>
      <w:lvlText w:val="%1."/>
      <w:lvlJc w:val="left"/>
      <w:pPr>
        <w:ind w:left="425" w:hanging="425"/>
      </w:pPr>
      <w:rPr>
        <w:rFonts w:hint="default"/>
      </w:rPr>
    </w:lvl>
  </w:abstractNum>
  <w:abstractNum w:abstractNumId="85">
    <w:nsid w:val="284531B2"/>
    <w:multiLevelType w:val="singleLevel"/>
    <w:tmpl w:val="284531B2"/>
    <w:lvl w:ilvl="0" w:tentative="0">
      <w:start w:val="1"/>
      <w:numFmt w:val="decimal"/>
      <w:lvlText w:val="(%1)"/>
      <w:lvlJc w:val="left"/>
      <w:pPr>
        <w:ind w:left="425" w:hanging="425"/>
      </w:pPr>
      <w:rPr>
        <w:rFonts w:hint="default"/>
      </w:rPr>
    </w:lvl>
  </w:abstractNum>
  <w:abstractNum w:abstractNumId="86">
    <w:nsid w:val="290DC57A"/>
    <w:multiLevelType w:val="singleLevel"/>
    <w:tmpl w:val="290DC57A"/>
    <w:lvl w:ilvl="0" w:tentative="0">
      <w:start w:val="1"/>
      <w:numFmt w:val="decimal"/>
      <w:lvlText w:val="(%1)"/>
      <w:lvlJc w:val="left"/>
      <w:pPr>
        <w:ind w:left="425" w:hanging="425"/>
      </w:pPr>
      <w:rPr>
        <w:rFonts w:hint="default"/>
      </w:rPr>
    </w:lvl>
  </w:abstractNum>
  <w:abstractNum w:abstractNumId="87">
    <w:nsid w:val="2A82F643"/>
    <w:multiLevelType w:val="singleLevel"/>
    <w:tmpl w:val="2A82F643"/>
    <w:lvl w:ilvl="0" w:tentative="0">
      <w:start w:val="1"/>
      <w:numFmt w:val="decimal"/>
      <w:lvlText w:val="%1."/>
      <w:lvlJc w:val="left"/>
      <w:pPr>
        <w:ind w:left="425" w:hanging="425"/>
      </w:pPr>
      <w:rPr>
        <w:rFonts w:hint="default"/>
      </w:rPr>
    </w:lvl>
  </w:abstractNum>
  <w:abstractNum w:abstractNumId="88">
    <w:nsid w:val="2D225485"/>
    <w:multiLevelType w:val="singleLevel"/>
    <w:tmpl w:val="2D225485"/>
    <w:lvl w:ilvl="0" w:tentative="0">
      <w:start w:val="1"/>
      <w:numFmt w:val="decimal"/>
      <w:lvlText w:val="%1."/>
      <w:lvlJc w:val="left"/>
      <w:pPr>
        <w:ind w:left="425" w:hanging="425"/>
      </w:pPr>
      <w:rPr>
        <w:rFonts w:hint="default"/>
      </w:rPr>
    </w:lvl>
  </w:abstractNum>
  <w:abstractNum w:abstractNumId="89">
    <w:nsid w:val="2D23426E"/>
    <w:multiLevelType w:val="multilevel"/>
    <w:tmpl w:val="2D23426E"/>
    <w:lvl w:ilvl="0" w:tentative="0">
      <w:start w:val="1"/>
      <w:numFmt w:val="decimal"/>
      <w:lvlText w:val="%1."/>
      <w:lvlJc w:val="left"/>
      <w:pPr>
        <w:ind w:left="420" w:hanging="420"/>
      </w:pPr>
      <w:rPr>
        <w:rFonts w:hint="eastAsia" w:ascii="宋体" w:hAnsi="宋体" w:eastAsia="宋体"/>
        <w:b w:val="0"/>
        <w:sz w:val="21"/>
        <w:szCs w:val="21"/>
      </w:rPr>
    </w:lvl>
    <w:lvl w:ilvl="1" w:tentative="0">
      <w:start w:val="1"/>
      <w:numFmt w:val="lowerLetter"/>
      <w:lvlText w:val="%2)"/>
      <w:lvlJc w:val="left"/>
      <w:pPr>
        <w:ind w:left="556" w:hanging="420"/>
      </w:pPr>
    </w:lvl>
    <w:lvl w:ilvl="2" w:tentative="0">
      <w:start w:val="1"/>
      <w:numFmt w:val="lowerRoman"/>
      <w:lvlText w:val="%3."/>
      <w:lvlJc w:val="right"/>
      <w:pPr>
        <w:ind w:left="976" w:hanging="420"/>
      </w:pPr>
    </w:lvl>
    <w:lvl w:ilvl="3" w:tentative="0">
      <w:start w:val="1"/>
      <w:numFmt w:val="decimal"/>
      <w:lvlText w:val="%4."/>
      <w:lvlJc w:val="left"/>
      <w:pPr>
        <w:ind w:left="1396" w:hanging="420"/>
      </w:pPr>
    </w:lvl>
    <w:lvl w:ilvl="4" w:tentative="0">
      <w:start w:val="1"/>
      <w:numFmt w:val="lowerLetter"/>
      <w:lvlText w:val="%5)"/>
      <w:lvlJc w:val="left"/>
      <w:pPr>
        <w:ind w:left="1816" w:hanging="420"/>
      </w:pPr>
    </w:lvl>
    <w:lvl w:ilvl="5" w:tentative="0">
      <w:start w:val="1"/>
      <w:numFmt w:val="lowerRoman"/>
      <w:lvlText w:val="%6."/>
      <w:lvlJc w:val="right"/>
      <w:pPr>
        <w:ind w:left="2236" w:hanging="420"/>
      </w:pPr>
    </w:lvl>
    <w:lvl w:ilvl="6" w:tentative="0">
      <w:start w:val="1"/>
      <w:numFmt w:val="decimal"/>
      <w:lvlText w:val="%7."/>
      <w:lvlJc w:val="left"/>
      <w:pPr>
        <w:ind w:left="2656" w:hanging="420"/>
      </w:pPr>
    </w:lvl>
    <w:lvl w:ilvl="7" w:tentative="0">
      <w:start w:val="1"/>
      <w:numFmt w:val="lowerLetter"/>
      <w:lvlText w:val="%8)"/>
      <w:lvlJc w:val="left"/>
      <w:pPr>
        <w:ind w:left="3076" w:hanging="420"/>
      </w:pPr>
    </w:lvl>
    <w:lvl w:ilvl="8" w:tentative="0">
      <w:start w:val="1"/>
      <w:numFmt w:val="lowerRoman"/>
      <w:lvlText w:val="%9."/>
      <w:lvlJc w:val="right"/>
      <w:pPr>
        <w:ind w:left="3496" w:hanging="420"/>
      </w:pPr>
    </w:lvl>
  </w:abstractNum>
  <w:abstractNum w:abstractNumId="90">
    <w:nsid w:val="2F925AEA"/>
    <w:multiLevelType w:val="singleLevel"/>
    <w:tmpl w:val="2F925AEA"/>
    <w:lvl w:ilvl="0" w:tentative="0">
      <w:start w:val="1"/>
      <w:numFmt w:val="decimal"/>
      <w:lvlText w:val="%1."/>
      <w:lvlJc w:val="left"/>
      <w:pPr>
        <w:ind w:left="425" w:hanging="425"/>
      </w:pPr>
      <w:rPr>
        <w:rFonts w:hint="default"/>
      </w:rPr>
    </w:lvl>
  </w:abstractNum>
  <w:abstractNum w:abstractNumId="91">
    <w:nsid w:val="30C7FBA1"/>
    <w:multiLevelType w:val="singleLevel"/>
    <w:tmpl w:val="30C7FBA1"/>
    <w:lvl w:ilvl="0" w:tentative="0">
      <w:start w:val="1"/>
      <w:numFmt w:val="chineseCounting"/>
      <w:suff w:val="nothing"/>
      <w:lvlText w:val="（%1）"/>
      <w:lvlJc w:val="left"/>
      <w:pPr>
        <w:ind w:left="0" w:firstLine="420"/>
      </w:pPr>
      <w:rPr>
        <w:rFonts w:hint="eastAsia"/>
      </w:rPr>
    </w:lvl>
  </w:abstractNum>
  <w:abstractNum w:abstractNumId="92">
    <w:nsid w:val="325C3D3A"/>
    <w:multiLevelType w:val="singleLevel"/>
    <w:tmpl w:val="325C3D3A"/>
    <w:lvl w:ilvl="0" w:tentative="0">
      <w:start w:val="1"/>
      <w:numFmt w:val="chineseCounting"/>
      <w:suff w:val="nothing"/>
      <w:lvlText w:val="（%1）"/>
      <w:lvlJc w:val="left"/>
      <w:pPr>
        <w:ind w:left="0" w:firstLine="420"/>
      </w:pPr>
      <w:rPr>
        <w:rFonts w:hint="eastAsia"/>
      </w:rPr>
    </w:lvl>
  </w:abstractNum>
  <w:abstractNum w:abstractNumId="93">
    <w:nsid w:val="32EDEA99"/>
    <w:multiLevelType w:val="singleLevel"/>
    <w:tmpl w:val="32EDEA99"/>
    <w:lvl w:ilvl="0" w:tentative="0">
      <w:start w:val="1"/>
      <w:numFmt w:val="decimal"/>
      <w:lvlText w:val="%1."/>
      <w:lvlJc w:val="left"/>
      <w:pPr>
        <w:ind w:left="425" w:hanging="425"/>
      </w:pPr>
      <w:rPr>
        <w:rFonts w:hint="default"/>
      </w:rPr>
    </w:lvl>
  </w:abstractNum>
  <w:abstractNum w:abstractNumId="94">
    <w:nsid w:val="334F0D86"/>
    <w:multiLevelType w:val="singleLevel"/>
    <w:tmpl w:val="334F0D86"/>
    <w:lvl w:ilvl="0" w:tentative="0">
      <w:start w:val="1"/>
      <w:numFmt w:val="decimal"/>
      <w:lvlText w:val="(%1)"/>
      <w:lvlJc w:val="left"/>
      <w:pPr>
        <w:ind w:left="425" w:hanging="425"/>
      </w:pPr>
      <w:rPr>
        <w:rFonts w:hint="default"/>
      </w:rPr>
    </w:lvl>
  </w:abstractNum>
  <w:abstractNum w:abstractNumId="95">
    <w:nsid w:val="36789CEE"/>
    <w:multiLevelType w:val="singleLevel"/>
    <w:tmpl w:val="36789CEE"/>
    <w:lvl w:ilvl="0" w:tentative="0">
      <w:start w:val="1"/>
      <w:numFmt w:val="chineseCounting"/>
      <w:suff w:val="nothing"/>
      <w:lvlText w:val="（%1）"/>
      <w:lvlJc w:val="left"/>
      <w:pPr>
        <w:ind w:left="0" w:firstLine="420"/>
      </w:pPr>
      <w:rPr>
        <w:rFonts w:hint="eastAsia"/>
      </w:rPr>
    </w:lvl>
  </w:abstractNum>
  <w:abstractNum w:abstractNumId="96">
    <w:nsid w:val="36D724EB"/>
    <w:multiLevelType w:val="multilevel"/>
    <w:tmpl w:val="36D724EB"/>
    <w:lvl w:ilvl="0" w:tentative="0">
      <w:start w:val="1"/>
      <w:numFmt w:val="decimal"/>
      <w:lvlText w:val="%1."/>
      <w:lvlJc w:val="left"/>
      <w:pPr>
        <w:ind w:left="420" w:hanging="420"/>
      </w:pPr>
      <w:rPr>
        <w:rFonts w:hint="eastAsia" w:ascii="宋体" w:hAnsi="宋体" w:eastAsia="宋体"/>
        <w:b w:val="0"/>
        <w:sz w:val="21"/>
        <w:szCs w:val="21"/>
      </w:rPr>
    </w:lvl>
    <w:lvl w:ilvl="1" w:tentative="0">
      <w:start w:val="1"/>
      <w:numFmt w:val="lowerLetter"/>
      <w:lvlText w:val="%2)"/>
      <w:lvlJc w:val="left"/>
      <w:pPr>
        <w:ind w:left="556" w:hanging="420"/>
      </w:pPr>
    </w:lvl>
    <w:lvl w:ilvl="2" w:tentative="0">
      <w:start w:val="1"/>
      <w:numFmt w:val="lowerRoman"/>
      <w:lvlText w:val="%3."/>
      <w:lvlJc w:val="right"/>
      <w:pPr>
        <w:ind w:left="976" w:hanging="420"/>
      </w:pPr>
    </w:lvl>
    <w:lvl w:ilvl="3" w:tentative="0">
      <w:start w:val="1"/>
      <w:numFmt w:val="decimal"/>
      <w:lvlText w:val="%4."/>
      <w:lvlJc w:val="left"/>
      <w:pPr>
        <w:ind w:left="1396" w:hanging="420"/>
      </w:pPr>
    </w:lvl>
    <w:lvl w:ilvl="4" w:tentative="0">
      <w:start w:val="1"/>
      <w:numFmt w:val="lowerLetter"/>
      <w:lvlText w:val="%5)"/>
      <w:lvlJc w:val="left"/>
      <w:pPr>
        <w:ind w:left="1816" w:hanging="420"/>
      </w:pPr>
    </w:lvl>
    <w:lvl w:ilvl="5" w:tentative="0">
      <w:start w:val="1"/>
      <w:numFmt w:val="lowerRoman"/>
      <w:lvlText w:val="%6."/>
      <w:lvlJc w:val="right"/>
      <w:pPr>
        <w:ind w:left="2236" w:hanging="420"/>
      </w:pPr>
    </w:lvl>
    <w:lvl w:ilvl="6" w:tentative="0">
      <w:start w:val="1"/>
      <w:numFmt w:val="decimal"/>
      <w:lvlText w:val="%7."/>
      <w:lvlJc w:val="left"/>
      <w:pPr>
        <w:ind w:left="2656" w:hanging="420"/>
      </w:pPr>
    </w:lvl>
    <w:lvl w:ilvl="7" w:tentative="0">
      <w:start w:val="1"/>
      <w:numFmt w:val="lowerLetter"/>
      <w:lvlText w:val="%8)"/>
      <w:lvlJc w:val="left"/>
      <w:pPr>
        <w:ind w:left="3076" w:hanging="420"/>
      </w:pPr>
    </w:lvl>
    <w:lvl w:ilvl="8" w:tentative="0">
      <w:start w:val="1"/>
      <w:numFmt w:val="lowerRoman"/>
      <w:lvlText w:val="%9."/>
      <w:lvlJc w:val="right"/>
      <w:pPr>
        <w:ind w:left="3496" w:hanging="420"/>
      </w:pPr>
    </w:lvl>
  </w:abstractNum>
  <w:abstractNum w:abstractNumId="97">
    <w:nsid w:val="373A93FC"/>
    <w:multiLevelType w:val="singleLevel"/>
    <w:tmpl w:val="373A93FC"/>
    <w:lvl w:ilvl="0" w:tentative="0">
      <w:start w:val="1"/>
      <w:numFmt w:val="decimal"/>
      <w:lvlText w:val="(%1)"/>
      <w:lvlJc w:val="left"/>
      <w:pPr>
        <w:ind w:left="425" w:hanging="425"/>
      </w:pPr>
      <w:rPr>
        <w:rFonts w:hint="default"/>
      </w:rPr>
    </w:lvl>
  </w:abstractNum>
  <w:abstractNum w:abstractNumId="98">
    <w:nsid w:val="37D87ADA"/>
    <w:multiLevelType w:val="singleLevel"/>
    <w:tmpl w:val="37D87ADA"/>
    <w:lvl w:ilvl="0" w:tentative="0">
      <w:start w:val="1"/>
      <w:numFmt w:val="decimal"/>
      <w:lvlText w:val="%1."/>
      <w:lvlJc w:val="left"/>
      <w:pPr>
        <w:ind w:left="425" w:hanging="425"/>
      </w:pPr>
      <w:rPr>
        <w:rFonts w:hint="default"/>
      </w:rPr>
    </w:lvl>
  </w:abstractNum>
  <w:abstractNum w:abstractNumId="99">
    <w:nsid w:val="39287919"/>
    <w:multiLevelType w:val="multilevel"/>
    <w:tmpl w:val="39287919"/>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0">
    <w:nsid w:val="3A8C4C78"/>
    <w:multiLevelType w:val="multilevel"/>
    <w:tmpl w:val="3A8C4C78"/>
    <w:lvl w:ilvl="0" w:tentative="0">
      <w:start w:val="1"/>
      <w:numFmt w:val="decimal"/>
      <w:lvlText w:val="格式%1"/>
      <w:lvlJc w:val="left"/>
      <w:pPr>
        <w:tabs>
          <w:tab w:val="left" w:pos="425"/>
        </w:tabs>
        <w:ind w:left="425" w:hanging="425"/>
      </w:pPr>
      <w:rPr>
        <w:rFonts w:hint="eastAsia" w:ascii="黑体" w:eastAsia="黑体"/>
        <w:b w:val="0"/>
        <w:color w:val="auto"/>
        <w:sz w:val="28"/>
        <w:szCs w:val="28"/>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202"/>
        </w:tabs>
        <w:ind w:left="5102" w:hanging="1700"/>
      </w:pPr>
      <w:rPr>
        <w:rFonts w:hint="eastAsia"/>
      </w:rPr>
    </w:lvl>
  </w:abstractNum>
  <w:abstractNum w:abstractNumId="101">
    <w:nsid w:val="3D5306CB"/>
    <w:multiLevelType w:val="singleLevel"/>
    <w:tmpl w:val="3D5306CB"/>
    <w:lvl w:ilvl="0" w:tentative="0">
      <w:start w:val="1"/>
      <w:numFmt w:val="chineseCounting"/>
      <w:suff w:val="nothing"/>
      <w:lvlText w:val="（%1）"/>
      <w:lvlJc w:val="left"/>
      <w:pPr>
        <w:ind w:left="0" w:firstLine="420"/>
      </w:pPr>
      <w:rPr>
        <w:rFonts w:hint="eastAsia"/>
      </w:rPr>
    </w:lvl>
  </w:abstractNum>
  <w:abstractNum w:abstractNumId="102">
    <w:nsid w:val="3DE748C0"/>
    <w:multiLevelType w:val="singleLevel"/>
    <w:tmpl w:val="3DE748C0"/>
    <w:lvl w:ilvl="0" w:tentative="0">
      <w:start w:val="1"/>
      <w:numFmt w:val="chineseCounting"/>
      <w:suff w:val="nothing"/>
      <w:lvlText w:val="（%1）"/>
      <w:lvlJc w:val="left"/>
      <w:pPr>
        <w:ind w:left="0" w:firstLine="420"/>
      </w:pPr>
      <w:rPr>
        <w:rFonts w:hint="eastAsia"/>
      </w:rPr>
    </w:lvl>
  </w:abstractNum>
  <w:abstractNum w:abstractNumId="103">
    <w:nsid w:val="3F34B82D"/>
    <w:multiLevelType w:val="singleLevel"/>
    <w:tmpl w:val="3F34B82D"/>
    <w:lvl w:ilvl="0" w:tentative="0">
      <w:start w:val="1"/>
      <w:numFmt w:val="decimal"/>
      <w:lvlText w:val="%1."/>
      <w:lvlJc w:val="left"/>
      <w:pPr>
        <w:ind w:left="425" w:hanging="425"/>
      </w:pPr>
      <w:rPr>
        <w:rFonts w:hint="default"/>
      </w:rPr>
    </w:lvl>
  </w:abstractNum>
  <w:abstractNum w:abstractNumId="104">
    <w:nsid w:val="42C6939E"/>
    <w:multiLevelType w:val="singleLevel"/>
    <w:tmpl w:val="42C6939E"/>
    <w:lvl w:ilvl="0" w:tentative="0">
      <w:start w:val="1"/>
      <w:numFmt w:val="decimal"/>
      <w:lvlText w:val="(%1)"/>
      <w:lvlJc w:val="left"/>
      <w:pPr>
        <w:ind w:left="425" w:hanging="425"/>
      </w:pPr>
      <w:rPr>
        <w:rFonts w:hint="default"/>
      </w:rPr>
    </w:lvl>
  </w:abstractNum>
  <w:abstractNum w:abstractNumId="105">
    <w:nsid w:val="42CB4F14"/>
    <w:multiLevelType w:val="singleLevel"/>
    <w:tmpl w:val="42CB4F14"/>
    <w:lvl w:ilvl="0" w:tentative="0">
      <w:start w:val="1"/>
      <w:numFmt w:val="decimal"/>
      <w:lvlText w:val="%1"/>
      <w:lvlJc w:val="left"/>
      <w:pPr>
        <w:tabs>
          <w:tab w:val="left" w:pos="420"/>
        </w:tabs>
        <w:ind w:left="425" w:hanging="425"/>
      </w:pPr>
      <w:rPr>
        <w:rFonts w:hint="default"/>
      </w:rPr>
    </w:lvl>
  </w:abstractNum>
  <w:abstractNum w:abstractNumId="106">
    <w:nsid w:val="42D11E4A"/>
    <w:multiLevelType w:val="multilevel"/>
    <w:tmpl w:val="42D11E4A"/>
    <w:lvl w:ilvl="0" w:tentative="0">
      <w:start w:val="1"/>
      <w:numFmt w:val="decimal"/>
      <w:lvlText w:val="%1."/>
      <w:lvlJc w:val="left"/>
      <w:pPr>
        <w:tabs>
          <w:tab w:val="left" w:pos="420"/>
        </w:tabs>
        <w:ind w:left="42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7">
    <w:nsid w:val="467A7D38"/>
    <w:multiLevelType w:val="multilevel"/>
    <w:tmpl w:val="467A7D38"/>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8">
    <w:nsid w:val="48293B8C"/>
    <w:multiLevelType w:val="singleLevel"/>
    <w:tmpl w:val="48293B8C"/>
    <w:lvl w:ilvl="0" w:tentative="0">
      <w:start w:val="1"/>
      <w:numFmt w:val="decimal"/>
      <w:lvlText w:val="%1."/>
      <w:lvlJc w:val="left"/>
      <w:pPr>
        <w:ind w:left="425" w:hanging="425"/>
      </w:pPr>
      <w:rPr>
        <w:rFonts w:hint="default"/>
      </w:rPr>
    </w:lvl>
  </w:abstractNum>
  <w:abstractNum w:abstractNumId="109">
    <w:nsid w:val="4950C4DD"/>
    <w:multiLevelType w:val="singleLevel"/>
    <w:tmpl w:val="4950C4DD"/>
    <w:lvl w:ilvl="0" w:tentative="0">
      <w:start w:val="1"/>
      <w:numFmt w:val="decimal"/>
      <w:lvlText w:val="%1."/>
      <w:lvlJc w:val="left"/>
      <w:pPr>
        <w:ind w:left="425" w:hanging="425"/>
      </w:pPr>
      <w:rPr>
        <w:rFonts w:hint="default"/>
      </w:rPr>
    </w:lvl>
  </w:abstractNum>
  <w:abstractNum w:abstractNumId="110">
    <w:nsid w:val="4A442AAE"/>
    <w:multiLevelType w:val="singleLevel"/>
    <w:tmpl w:val="4A442AAE"/>
    <w:lvl w:ilvl="0" w:tentative="0">
      <w:start w:val="1"/>
      <w:numFmt w:val="decimal"/>
      <w:lvlText w:val="(%1)"/>
      <w:lvlJc w:val="left"/>
      <w:pPr>
        <w:ind w:left="425" w:hanging="425"/>
      </w:pPr>
      <w:rPr>
        <w:rFonts w:hint="default"/>
      </w:rPr>
    </w:lvl>
  </w:abstractNum>
  <w:abstractNum w:abstractNumId="111">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2">
    <w:nsid w:val="4CE7BFF9"/>
    <w:multiLevelType w:val="singleLevel"/>
    <w:tmpl w:val="4CE7BFF9"/>
    <w:lvl w:ilvl="0" w:tentative="0">
      <w:start w:val="1"/>
      <w:numFmt w:val="decimal"/>
      <w:lvlText w:val="%1."/>
      <w:lvlJc w:val="left"/>
      <w:pPr>
        <w:ind w:left="425" w:hanging="425"/>
      </w:pPr>
      <w:rPr>
        <w:rFonts w:hint="default"/>
      </w:rPr>
    </w:lvl>
  </w:abstractNum>
  <w:abstractNum w:abstractNumId="113">
    <w:nsid w:val="4F3BE803"/>
    <w:multiLevelType w:val="singleLevel"/>
    <w:tmpl w:val="4F3BE803"/>
    <w:lvl w:ilvl="0" w:tentative="0">
      <w:start w:val="1"/>
      <w:numFmt w:val="decimal"/>
      <w:lvlText w:val="%1."/>
      <w:lvlJc w:val="left"/>
      <w:pPr>
        <w:ind w:left="425" w:hanging="425"/>
      </w:pPr>
      <w:rPr>
        <w:rFonts w:hint="default"/>
      </w:rPr>
    </w:lvl>
  </w:abstractNum>
  <w:abstractNum w:abstractNumId="114">
    <w:nsid w:val="4F68C5CD"/>
    <w:multiLevelType w:val="singleLevel"/>
    <w:tmpl w:val="4F68C5CD"/>
    <w:lvl w:ilvl="0" w:tentative="0">
      <w:start w:val="1"/>
      <w:numFmt w:val="decimal"/>
      <w:lvlText w:val="%1."/>
      <w:lvlJc w:val="left"/>
      <w:pPr>
        <w:ind w:left="425" w:hanging="425"/>
      </w:pPr>
      <w:rPr>
        <w:rFonts w:hint="default"/>
      </w:rPr>
    </w:lvl>
  </w:abstractNum>
  <w:abstractNum w:abstractNumId="115">
    <w:nsid w:val="50675357"/>
    <w:multiLevelType w:val="multilevel"/>
    <w:tmpl w:val="50675357"/>
    <w:lvl w:ilvl="0" w:tentative="0">
      <w:start w:val="1"/>
      <w:numFmt w:val="decimal"/>
      <w:lvlText w:val="%1."/>
      <w:lvlJc w:val="left"/>
      <w:pPr>
        <w:tabs>
          <w:tab w:val="left" w:pos="425"/>
        </w:tabs>
        <w:ind w:left="425" w:hanging="425"/>
      </w:pPr>
      <w:rPr>
        <w:rFonts w:hint="eastAsia"/>
        <w:b w:val="0"/>
      </w:r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16">
    <w:nsid w:val="526EB4F0"/>
    <w:multiLevelType w:val="singleLevel"/>
    <w:tmpl w:val="526EB4F0"/>
    <w:lvl w:ilvl="0" w:tentative="0">
      <w:start w:val="1"/>
      <w:numFmt w:val="chineseCounting"/>
      <w:suff w:val="nothing"/>
      <w:lvlText w:val="（%1）"/>
      <w:lvlJc w:val="left"/>
      <w:pPr>
        <w:ind w:left="197" w:firstLine="420"/>
      </w:pPr>
      <w:rPr>
        <w:rFonts w:hint="eastAsia"/>
      </w:rPr>
    </w:lvl>
  </w:abstractNum>
  <w:abstractNum w:abstractNumId="117">
    <w:nsid w:val="527E0473"/>
    <w:multiLevelType w:val="singleLevel"/>
    <w:tmpl w:val="527E0473"/>
    <w:lvl w:ilvl="0" w:tentative="0">
      <w:start w:val="1"/>
      <w:numFmt w:val="chineseCounting"/>
      <w:suff w:val="nothing"/>
      <w:lvlText w:val="（%1）"/>
      <w:lvlJc w:val="left"/>
      <w:pPr>
        <w:ind w:left="0" w:firstLine="420"/>
      </w:pPr>
      <w:rPr>
        <w:rFonts w:hint="eastAsia"/>
      </w:rPr>
    </w:lvl>
  </w:abstractNum>
  <w:abstractNum w:abstractNumId="118">
    <w:nsid w:val="52F42418"/>
    <w:multiLevelType w:val="multilevel"/>
    <w:tmpl w:val="52F42418"/>
    <w:lvl w:ilvl="0" w:tentative="0">
      <w:start w:val="1"/>
      <w:numFmt w:val="decimal"/>
      <w:lvlText w:val="%1."/>
      <w:lvlJc w:val="left"/>
      <w:pPr>
        <w:tabs>
          <w:tab w:val="left" w:pos="425"/>
        </w:tabs>
        <w:ind w:left="425" w:hanging="425"/>
      </w:pPr>
      <w:rPr>
        <w:rFonts w:hint="eastAsia" w:ascii="宋体" w:hAnsi="宋体" w:eastAsia="宋体"/>
        <w:b w:val="0"/>
        <w:color w:val="auto"/>
      </w:rPr>
    </w:lvl>
    <w:lvl w:ilvl="1" w:tentative="0">
      <w:start w:val="1"/>
      <w:numFmt w:val="decimal"/>
      <w:lvlText w:val="%1.%2"/>
      <w:lvlJc w:val="left"/>
      <w:pPr>
        <w:tabs>
          <w:tab w:val="left" w:pos="567"/>
        </w:tabs>
        <w:ind w:left="567" w:hanging="567"/>
      </w:pPr>
      <w:rPr>
        <w:rFonts w:hint="eastAsia" w:ascii="宋体" w:hAnsi="宋体" w:eastAsia="宋体"/>
        <w:b w:val="0"/>
      </w:rPr>
    </w:lvl>
    <w:lvl w:ilvl="2" w:tentative="0">
      <w:start w:val="1"/>
      <w:numFmt w:val="decimal"/>
      <w:lvlText w:val="%1.%2.%3"/>
      <w:lvlJc w:val="left"/>
      <w:pPr>
        <w:tabs>
          <w:tab w:val="left" w:pos="709"/>
        </w:tabs>
        <w:ind w:left="709" w:hanging="709"/>
      </w:pPr>
      <w:rPr>
        <w:rFonts w:hint="eastAsia" w:ascii="宋体" w:hAnsi="宋体" w:eastAsia="宋体"/>
      </w:rPr>
    </w:lvl>
    <w:lvl w:ilvl="3" w:tentative="0">
      <w:start w:val="1"/>
      <w:numFmt w:val="decimal"/>
      <w:lvlText w:val="%1.%2.%3.%4."/>
      <w:lvlJc w:val="left"/>
      <w:pPr>
        <w:tabs>
          <w:tab w:val="left" w:pos="851"/>
        </w:tabs>
        <w:ind w:left="851" w:hanging="85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9">
    <w:nsid w:val="53995528"/>
    <w:multiLevelType w:val="multilevel"/>
    <w:tmpl w:val="53995528"/>
    <w:lvl w:ilvl="0" w:tentative="0">
      <w:start w:val="1"/>
      <w:numFmt w:val="decimal"/>
      <w:lvlText w:val="%1."/>
      <w:lvlJc w:val="center"/>
      <w:pPr>
        <w:ind w:left="624" w:hanging="624"/>
      </w:pPr>
      <w:rPr>
        <w:rFonts w:hint="eastAsia" w:ascii="宋体" w:hAnsi="宋体" w:eastAsia="宋体"/>
        <w:b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0">
    <w:nsid w:val="540D1739"/>
    <w:multiLevelType w:val="singleLevel"/>
    <w:tmpl w:val="540D1739"/>
    <w:lvl w:ilvl="0" w:tentative="0">
      <w:start w:val="1"/>
      <w:numFmt w:val="decimal"/>
      <w:lvlText w:val="%1."/>
      <w:lvlJc w:val="left"/>
      <w:pPr>
        <w:ind w:left="425" w:hanging="425"/>
      </w:pPr>
      <w:rPr>
        <w:rFonts w:hint="default"/>
      </w:rPr>
    </w:lvl>
  </w:abstractNum>
  <w:abstractNum w:abstractNumId="121">
    <w:nsid w:val="5631A12C"/>
    <w:multiLevelType w:val="singleLevel"/>
    <w:tmpl w:val="5631A12C"/>
    <w:lvl w:ilvl="0" w:tentative="0">
      <w:start w:val="1"/>
      <w:numFmt w:val="chineseCounting"/>
      <w:suff w:val="nothing"/>
      <w:lvlText w:val="%1、"/>
      <w:lvlJc w:val="left"/>
      <w:pPr>
        <w:ind w:left="0" w:firstLine="420"/>
      </w:pPr>
      <w:rPr>
        <w:rFonts w:hint="eastAsia"/>
      </w:rPr>
    </w:lvl>
  </w:abstractNum>
  <w:abstractNum w:abstractNumId="122">
    <w:nsid w:val="56583332"/>
    <w:multiLevelType w:val="multilevel"/>
    <w:tmpl w:val="56583332"/>
    <w:lvl w:ilvl="0" w:tentative="0">
      <w:start w:val="1"/>
      <w:numFmt w:val="decimal"/>
      <w:lvlText w:val="%1."/>
      <w:lvlJc w:val="left"/>
      <w:pPr>
        <w:tabs>
          <w:tab w:val="left" w:pos="425"/>
        </w:tabs>
        <w:ind w:left="425" w:hanging="425"/>
      </w:pPr>
      <w:rPr>
        <w:rFonts w:ascii="宋体" w:hAnsi="宋体" w:eastAsia="宋体"/>
      </w:r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23">
    <w:nsid w:val="569D8923"/>
    <w:multiLevelType w:val="singleLevel"/>
    <w:tmpl w:val="569D8923"/>
    <w:lvl w:ilvl="0" w:tentative="0">
      <w:start w:val="1"/>
      <w:numFmt w:val="decimal"/>
      <w:lvlText w:val="%1."/>
      <w:lvlJc w:val="left"/>
      <w:pPr>
        <w:ind w:left="425" w:hanging="425"/>
      </w:pPr>
      <w:rPr>
        <w:rFonts w:hint="default"/>
      </w:rPr>
    </w:lvl>
  </w:abstractNum>
  <w:abstractNum w:abstractNumId="124">
    <w:nsid w:val="574460AB"/>
    <w:multiLevelType w:val="singleLevel"/>
    <w:tmpl w:val="574460AB"/>
    <w:lvl w:ilvl="0" w:tentative="0">
      <w:start w:val="1"/>
      <w:numFmt w:val="decimal"/>
      <w:lvlText w:val="%1."/>
      <w:lvlJc w:val="left"/>
      <w:pPr>
        <w:ind w:left="425" w:hanging="425"/>
      </w:pPr>
      <w:rPr>
        <w:rFonts w:hint="default"/>
      </w:rPr>
    </w:lvl>
  </w:abstractNum>
  <w:abstractNum w:abstractNumId="125">
    <w:nsid w:val="58A1839B"/>
    <w:multiLevelType w:val="singleLevel"/>
    <w:tmpl w:val="58A1839B"/>
    <w:lvl w:ilvl="0" w:tentative="0">
      <w:start w:val="1"/>
      <w:numFmt w:val="decimal"/>
      <w:lvlText w:val="%1."/>
      <w:lvlJc w:val="left"/>
      <w:pPr>
        <w:ind w:left="425" w:hanging="425"/>
      </w:pPr>
      <w:rPr>
        <w:rFonts w:hint="default"/>
      </w:rPr>
    </w:lvl>
  </w:abstractNum>
  <w:abstractNum w:abstractNumId="126">
    <w:nsid w:val="59170E7C"/>
    <w:multiLevelType w:val="multilevel"/>
    <w:tmpl w:val="59170E7C"/>
    <w:lvl w:ilvl="0" w:tentative="0">
      <w:start w:val="1"/>
      <w:numFmt w:val="chineseCountingThousand"/>
      <w:lvlText w:val="%1、"/>
      <w:lvlJc w:val="left"/>
      <w:pPr>
        <w:ind w:left="861" w:hanging="420"/>
      </w:pPr>
    </w:lvl>
    <w:lvl w:ilvl="1" w:tentative="0">
      <w:start w:val="1"/>
      <w:numFmt w:val="lowerLetter"/>
      <w:lvlText w:val="%2)"/>
      <w:lvlJc w:val="left"/>
      <w:pPr>
        <w:ind w:left="1281" w:hanging="420"/>
      </w:pPr>
    </w:lvl>
    <w:lvl w:ilvl="2" w:tentative="0">
      <w:start w:val="1"/>
      <w:numFmt w:val="lowerRoman"/>
      <w:lvlText w:val="%3."/>
      <w:lvlJc w:val="right"/>
      <w:pPr>
        <w:ind w:left="1701" w:hanging="420"/>
      </w:pPr>
    </w:lvl>
    <w:lvl w:ilvl="3" w:tentative="0">
      <w:start w:val="1"/>
      <w:numFmt w:val="decimal"/>
      <w:lvlText w:val="%4."/>
      <w:lvlJc w:val="left"/>
      <w:pPr>
        <w:ind w:left="2121" w:hanging="420"/>
      </w:pPr>
    </w:lvl>
    <w:lvl w:ilvl="4" w:tentative="0">
      <w:start w:val="1"/>
      <w:numFmt w:val="lowerLetter"/>
      <w:lvlText w:val="%5)"/>
      <w:lvlJc w:val="left"/>
      <w:pPr>
        <w:ind w:left="2541" w:hanging="420"/>
      </w:pPr>
    </w:lvl>
    <w:lvl w:ilvl="5" w:tentative="0">
      <w:start w:val="1"/>
      <w:numFmt w:val="lowerRoman"/>
      <w:lvlText w:val="%6."/>
      <w:lvlJc w:val="right"/>
      <w:pPr>
        <w:ind w:left="2961" w:hanging="420"/>
      </w:pPr>
    </w:lvl>
    <w:lvl w:ilvl="6" w:tentative="0">
      <w:start w:val="1"/>
      <w:numFmt w:val="decimal"/>
      <w:lvlText w:val="%7."/>
      <w:lvlJc w:val="left"/>
      <w:pPr>
        <w:ind w:left="3381" w:hanging="420"/>
      </w:pPr>
    </w:lvl>
    <w:lvl w:ilvl="7" w:tentative="0">
      <w:start w:val="1"/>
      <w:numFmt w:val="lowerLetter"/>
      <w:lvlText w:val="%8)"/>
      <w:lvlJc w:val="left"/>
      <w:pPr>
        <w:ind w:left="3801" w:hanging="420"/>
      </w:pPr>
    </w:lvl>
    <w:lvl w:ilvl="8" w:tentative="0">
      <w:start w:val="1"/>
      <w:numFmt w:val="lowerRoman"/>
      <w:lvlText w:val="%9."/>
      <w:lvlJc w:val="right"/>
      <w:pPr>
        <w:ind w:left="4221" w:hanging="420"/>
      </w:pPr>
    </w:lvl>
  </w:abstractNum>
  <w:abstractNum w:abstractNumId="127">
    <w:nsid w:val="59B53901"/>
    <w:multiLevelType w:val="singleLevel"/>
    <w:tmpl w:val="59B53901"/>
    <w:lvl w:ilvl="0" w:tentative="0">
      <w:start w:val="1"/>
      <w:numFmt w:val="decimal"/>
      <w:lvlText w:val="%1."/>
      <w:lvlJc w:val="left"/>
      <w:pPr>
        <w:ind w:left="425" w:hanging="425"/>
      </w:pPr>
      <w:rPr>
        <w:rFonts w:hint="default"/>
      </w:rPr>
    </w:lvl>
  </w:abstractNum>
  <w:abstractNum w:abstractNumId="128">
    <w:nsid w:val="59B53911"/>
    <w:multiLevelType w:val="singleLevel"/>
    <w:tmpl w:val="59B53911"/>
    <w:lvl w:ilvl="0" w:tentative="0">
      <w:start w:val="1"/>
      <w:numFmt w:val="decimal"/>
      <w:lvlText w:val="%1)"/>
      <w:lvlJc w:val="left"/>
      <w:pPr>
        <w:ind w:left="425" w:hanging="425"/>
      </w:pPr>
      <w:rPr>
        <w:rFonts w:hint="default"/>
      </w:rPr>
    </w:lvl>
  </w:abstractNum>
  <w:abstractNum w:abstractNumId="129">
    <w:nsid w:val="59B54234"/>
    <w:multiLevelType w:val="singleLevel"/>
    <w:tmpl w:val="59B54234"/>
    <w:lvl w:ilvl="0" w:tentative="0">
      <w:start w:val="1"/>
      <w:numFmt w:val="decimal"/>
      <w:lvlText w:val="%1."/>
      <w:lvlJc w:val="left"/>
      <w:pPr>
        <w:ind w:left="425" w:hanging="425"/>
      </w:pPr>
      <w:rPr>
        <w:rFonts w:hint="default"/>
      </w:rPr>
    </w:lvl>
  </w:abstractNum>
  <w:abstractNum w:abstractNumId="130">
    <w:nsid w:val="59B54A3C"/>
    <w:multiLevelType w:val="singleLevel"/>
    <w:tmpl w:val="59B54A3C"/>
    <w:lvl w:ilvl="0" w:tentative="0">
      <w:start w:val="1"/>
      <w:numFmt w:val="decimal"/>
      <w:lvlText w:val="%1."/>
      <w:lvlJc w:val="left"/>
      <w:pPr>
        <w:ind w:left="425" w:hanging="425"/>
      </w:pPr>
      <w:rPr>
        <w:rFonts w:hint="default"/>
      </w:rPr>
    </w:lvl>
  </w:abstractNum>
  <w:abstractNum w:abstractNumId="131">
    <w:nsid w:val="59B54A62"/>
    <w:multiLevelType w:val="singleLevel"/>
    <w:tmpl w:val="59B54A62"/>
    <w:lvl w:ilvl="0" w:tentative="0">
      <w:start w:val="1"/>
      <w:numFmt w:val="decimal"/>
      <w:lvlText w:val="%1."/>
      <w:lvlJc w:val="left"/>
      <w:pPr>
        <w:ind w:left="425" w:hanging="425"/>
      </w:pPr>
      <w:rPr>
        <w:rFonts w:hint="default"/>
      </w:rPr>
    </w:lvl>
  </w:abstractNum>
  <w:abstractNum w:abstractNumId="132">
    <w:nsid w:val="59EC7344"/>
    <w:multiLevelType w:val="multilevel"/>
    <w:tmpl w:val="59EC7344"/>
    <w:lvl w:ilvl="0" w:tentative="0">
      <w:start w:val="1"/>
      <w:numFmt w:val="decimal"/>
      <w:lvlText w:val="%1."/>
      <w:lvlJc w:val="left"/>
      <w:pPr>
        <w:ind w:left="420" w:hanging="420"/>
      </w:pPr>
      <w:rPr>
        <w:rFonts w:hint="eastAsia" w:ascii="宋体" w:hAnsi="宋体" w:eastAsia="宋体"/>
        <w:b w:val="0"/>
        <w:sz w:val="21"/>
        <w:szCs w:val="21"/>
      </w:rPr>
    </w:lvl>
    <w:lvl w:ilvl="1" w:tentative="0">
      <w:start w:val="1"/>
      <w:numFmt w:val="lowerLetter"/>
      <w:lvlText w:val="%2)"/>
      <w:lvlJc w:val="left"/>
      <w:pPr>
        <w:ind w:left="556" w:hanging="420"/>
      </w:pPr>
    </w:lvl>
    <w:lvl w:ilvl="2" w:tentative="0">
      <w:start w:val="1"/>
      <w:numFmt w:val="lowerRoman"/>
      <w:lvlText w:val="%3."/>
      <w:lvlJc w:val="right"/>
      <w:pPr>
        <w:ind w:left="976" w:hanging="420"/>
      </w:pPr>
    </w:lvl>
    <w:lvl w:ilvl="3" w:tentative="0">
      <w:start w:val="1"/>
      <w:numFmt w:val="decimal"/>
      <w:lvlText w:val="%4."/>
      <w:lvlJc w:val="left"/>
      <w:pPr>
        <w:ind w:left="1396" w:hanging="420"/>
      </w:pPr>
    </w:lvl>
    <w:lvl w:ilvl="4" w:tentative="0">
      <w:start w:val="1"/>
      <w:numFmt w:val="lowerLetter"/>
      <w:lvlText w:val="%5)"/>
      <w:lvlJc w:val="left"/>
      <w:pPr>
        <w:ind w:left="1816" w:hanging="420"/>
      </w:pPr>
    </w:lvl>
    <w:lvl w:ilvl="5" w:tentative="0">
      <w:start w:val="1"/>
      <w:numFmt w:val="lowerRoman"/>
      <w:lvlText w:val="%6."/>
      <w:lvlJc w:val="right"/>
      <w:pPr>
        <w:ind w:left="2236" w:hanging="420"/>
      </w:pPr>
    </w:lvl>
    <w:lvl w:ilvl="6" w:tentative="0">
      <w:start w:val="1"/>
      <w:numFmt w:val="decimal"/>
      <w:lvlText w:val="%7."/>
      <w:lvlJc w:val="left"/>
      <w:pPr>
        <w:ind w:left="2656" w:hanging="420"/>
      </w:pPr>
    </w:lvl>
    <w:lvl w:ilvl="7" w:tentative="0">
      <w:start w:val="1"/>
      <w:numFmt w:val="lowerLetter"/>
      <w:lvlText w:val="%8)"/>
      <w:lvlJc w:val="left"/>
      <w:pPr>
        <w:ind w:left="3076" w:hanging="420"/>
      </w:pPr>
    </w:lvl>
    <w:lvl w:ilvl="8" w:tentative="0">
      <w:start w:val="1"/>
      <w:numFmt w:val="lowerRoman"/>
      <w:lvlText w:val="%9."/>
      <w:lvlJc w:val="right"/>
      <w:pPr>
        <w:ind w:left="3496" w:hanging="420"/>
      </w:pPr>
    </w:lvl>
  </w:abstractNum>
  <w:abstractNum w:abstractNumId="133">
    <w:nsid w:val="5A7372A8"/>
    <w:multiLevelType w:val="singleLevel"/>
    <w:tmpl w:val="5A7372A8"/>
    <w:lvl w:ilvl="0" w:tentative="0">
      <w:start w:val="1"/>
      <w:numFmt w:val="decimal"/>
      <w:lvlText w:val="%1."/>
      <w:lvlJc w:val="left"/>
      <w:pPr>
        <w:ind w:left="425" w:hanging="425"/>
      </w:pPr>
      <w:rPr>
        <w:rFonts w:hint="default"/>
      </w:rPr>
    </w:lvl>
  </w:abstractNum>
  <w:abstractNum w:abstractNumId="134">
    <w:nsid w:val="5A7B14B8"/>
    <w:multiLevelType w:val="singleLevel"/>
    <w:tmpl w:val="5A7B14B8"/>
    <w:lvl w:ilvl="0" w:tentative="0">
      <w:start w:val="1"/>
      <w:numFmt w:val="decimal"/>
      <w:lvlText w:val="(%1)"/>
      <w:lvlJc w:val="left"/>
      <w:pPr>
        <w:ind w:left="425" w:hanging="425"/>
      </w:pPr>
      <w:rPr>
        <w:rFonts w:hint="default"/>
      </w:rPr>
    </w:lvl>
  </w:abstractNum>
  <w:abstractNum w:abstractNumId="135">
    <w:nsid w:val="5AC901C2"/>
    <w:multiLevelType w:val="singleLevel"/>
    <w:tmpl w:val="5AC901C2"/>
    <w:lvl w:ilvl="0" w:tentative="0">
      <w:start w:val="1"/>
      <w:numFmt w:val="decimal"/>
      <w:lvlText w:val="%1."/>
      <w:lvlJc w:val="left"/>
      <w:pPr>
        <w:ind w:left="425" w:hanging="425"/>
      </w:pPr>
      <w:rPr>
        <w:rFonts w:hint="default"/>
      </w:rPr>
    </w:lvl>
  </w:abstractNum>
  <w:abstractNum w:abstractNumId="136">
    <w:nsid w:val="5B9A6BA0"/>
    <w:multiLevelType w:val="multilevel"/>
    <w:tmpl w:val="5B9A6BA0"/>
    <w:lvl w:ilvl="0" w:tentative="0">
      <w:start w:val="1"/>
      <w:numFmt w:val="decimal"/>
      <w:lvlText w:val="%1．"/>
      <w:lvlJc w:val="left"/>
      <w:pPr>
        <w:tabs>
          <w:tab w:val="left" w:pos="360"/>
        </w:tabs>
        <w:ind w:left="360" w:hanging="36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7">
    <w:nsid w:val="5CDCBD8B"/>
    <w:multiLevelType w:val="singleLevel"/>
    <w:tmpl w:val="5CDCBD8B"/>
    <w:lvl w:ilvl="0" w:tentative="0">
      <w:start w:val="1"/>
      <w:numFmt w:val="decimal"/>
      <w:lvlText w:val="%1."/>
      <w:lvlJc w:val="left"/>
      <w:pPr>
        <w:ind w:left="425" w:hanging="425"/>
      </w:pPr>
      <w:rPr>
        <w:rFonts w:hint="default"/>
      </w:rPr>
    </w:lvl>
  </w:abstractNum>
  <w:abstractNum w:abstractNumId="138">
    <w:nsid w:val="5F81E685"/>
    <w:multiLevelType w:val="singleLevel"/>
    <w:tmpl w:val="5F81E685"/>
    <w:lvl w:ilvl="0" w:tentative="0">
      <w:start w:val="1"/>
      <w:numFmt w:val="decimal"/>
      <w:lvlText w:val="(%1)"/>
      <w:lvlJc w:val="left"/>
      <w:pPr>
        <w:ind w:left="425" w:hanging="425"/>
      </w:pPr>
      <w:rPr>
        <w:rFonts w:hint="default"/>
      </w:rPr>
    </w:lvl>
  </w:abstractNum>
  <w:abstractNum w:abstractNumId="139">
    <w:nsid w:val="60298D31"/>
    <w:multiLevelType w:val="singleLevel"/>
    <w:tmpl w:val="60298D31"/>
    <w:lvl w:ilvl="0" w:tentative="0">
      <w:start w:val="1"/>
      <w:numFmt w:val="decimal"/>
      <w:suff w:val="nothing"/>
      <w:lvlText w:val="（%1）"/>
      <w:lvlJc w:val="left"/>
      <w:pPr>
        <w:ind w:left="0" w:firstLine="420"/>
      </w:pPr>
      <w:rPr>
        <w:rFonts w:hint="default"/>
      </w:rPr>
    </w:lvl>
  </w:abstractNum>
  <w:abstractNum w:abstractNumId="140">
    <w:nsid w:val="624878E4"/>
    <w:multiLevelType w:val="singleLevel"/>
    <w:tmpl w:val="624878E4"/>
    <w:lvl w:ilvl="0" w:tentative="0">
      <w:start w:val="1"/>
      <w:numFmt w:val="chineseCounting"/>
      <w:suff w:val="nothing"/>
      <w:lvlText w:val="%1、"/>
      <w:lvlJc w:val="left"/>
      <w:pPr>
        <w:ind w:left="0" w:firstLine="420"/>
      </w:pPr>
      <w:rPr>
        <w:rFonts w:hint="eastAsia"/>
      </w:rPr>
    </w:lvl>
  </w:abstractNum>
  <w:abstractNum w:abstractNumId="141">
    <w:nsid w:val="6392561B"/>
    <w:multiLevelType w:val="singleLevel"/>
    <w:tmpl w:val="6392561B"/>
    <w:lvl w:ilvl="0" w:tentative="0">
      <w:start w:val="1"/>
      <w:numFmt w:val="decimal"/>
      <w:lvlText w:val="(%1)"/>
      <w:lvlJc w:val="left"/>
      <w:pPr>
        <w:ind w:left="425" w:hanging="425"/>
      </w:pPr>
      <w:rPr>
        <w:rFonts w:hint="default"/>
      </w:rPr>
    </w:lvl>
  </w:abstractNum>
  <w:abstractNum w:abstractNumId="142">
    <w:nsid w:val="650A56B4"/>
    <w:multiLevelType w:val="singleLevel"/>
    <w:tmpl w:val="650A56B4"/>
    <w:lvl w:ilvl="0" w:tentative="0">
      <w:start w:val="1"/>
      <w:numFmt w:val="decimal"/>
      <w:lvlText w:val="(%1)"/>
      <w:lvlJc w:val="left"/>
      <w:pPr>
        <w:ind w:left="425" w:hanging="425"/>
      </w:pPr>
      <w:rPr>
        <w:rFonts w:hint="default"/>
      </w:rPr>
    </w:lvl>
  </w:abstractNum>
  <w:abstractNum w:abstractNumId="143">
    <w:nsid w:val="66ADEB80"/>
    <w:multiLevelType w:val="singleLevel"/>
    <w:tmpl w:val="66ADEB80"/>
    <w:lvl w:ilvl="0" w:tentative="0">
      <w:start w:val="1"/>
      <w:numFmt w:val="chineseCounting"/>
      <w:suff w:val="nothing"/>
      <w:lvlText w:val="（%1）"/>
      <w:lvlJc w:val="left"/>
      <w:pPr>
        <w:ind w:left="0" w:firstLine="420"/>
      </w:pPr>
      <w:rPr>
        <w:rFonts w:hint="eastAsia"/>
      </w:rPr>
    </w:lvl>
  </w:abstractNum>
  <w:abstractNum w:abstractNumId="144">
    <w:nsid w:val="66E94ACC"/>
    <w:multiLevelType w:val="singleLevel"/>
    <w:tmpl w:val="66E94ACC"/>
    <w:lvl w:ilvl="0" w:tentative="0">
      <w:start w:val="1"/>
      <w:numFmt w:val="decimal"/>
      <w:lvlText w:val="%1."/>
      <w:lvlJc w:val="left"/>
      <w:pPr>
        <w:ind w:left="425" w:hanging="425"/>
      </w:pPr>
      <w:rPr>
        <w:rFonts w:hint="default"/>
      </w:rPr>
    </w:lvl>
  </w:abstractNum>
  <w:abstractNum w:abstractNumId="145">
    <w:nsid w:val="671514BD"/>
    <w:multiLevelType w:val="singleLevel"/>
    <w:tmpl w:val="671514BD"/>
    <w:lvl w:ilvl="0" w:tentative="0">
      <w:start w:val="1"/>
      <w:numFmt w:val="decimal"/>
      <w:lvlText w:val="(%1)"/>
      <w:lvlJc w:val="left"/>
      <w:pPr>
        <w:ind w:left="425" w:hanging="425"/>
      </w:pPr>
      <w:rPr>
        <w:rFonts w:hint="default"/>
      </w:rPr>
    </w:lvl>
  </w:abstractNum>
  <w:abstractNum w:abstractNumId="146">
    <w:nsid w:val="67326ACC"/>
    <w:multiLevelType w:val="singleLevel"/>
    <w:tmpl w:val="67326ACC"/>
    <w:lvl w:ilvl="0" w:tentative="0">
      <w:start w:val="1"/>
      <w:numFmt w:val="chineseCounting"/>
      <w:suff w:val="nothing"/>
      <w:lvlText w:val="（%1）"/>
      <w:lvlJc w:val="left"/>
      <w:pPr>
        <w:ind w:left="0" w:firstLine="420"/>
      </w:pPr>
      <w:rPr>
        <w:rFonts w:hint="eastAsia"/>
      </w:rPr>
    </w:lvl>
  </w:abstractNum>
  <w:abstractNum w:abstractNumId="147">
    <w:nsid w:val="6876545F"/>
    <w:multiLevelType w:val="singleLevel"/>
    <w:tmpl w:val="6876545F"/>
    <w:lvl w:ilvl="0" w:tentative="0">
      <w:start w:val="1"/>
      <w:numFmt w:val="decimal"/>
      <w:lvlText w:val="(%1)"/>
      <w:lvlJc w:val="left"/>
      <w:pPr>
        <w:ind w:left="425" w:hanging="425"/>
      </w:pPr>
      <w:rPr>
        <w:rFonts w:hint="default"/>
      </w:rPr>
    </w:lvl>
  </w:abstractNum>
  <w:abstractNum w:abstractNumId="148">
    <w:nsid w:val="6996075C"/>
    <w:multiLevelType w:val="singleLevel"/>
    <w:tmpl w:val="6996075C"/>
    <w:lvl w:ilvl="0" w:tentative="0">
      <w:start w:val="1"/>
      <w:numFmt w:val="decimal"/>
      <w:lvlText w:val="(%1)"/>
      <w:lvlJc w:val="left"/>
      <w:pPr>
        <w:ind w:left="425" w:hanging="425"/>
      </w:pPr>
      <w:rPr>
        <w:rFonts w:hint="default"/>
      </w:rPr>
    </w:lvl>
  </w:abstractNum>
  <w:abstractNum w:abstractNumId="149">
    <w:nsid w:val="69C56FEF"/>
    <w:multiLevelType w:val="multilevel"/>
    <w:tmpl w:val="69C56FEF"/>
    <w:lvl w:ilvl="0" w:tentative="0">
      <w:start w:val="1"/>
      <w:numFmt w:val="decimal"/>
      <w:lvlText w:val="%1."/>
      <w:lvlJc w:val="left"/>
      <w:pPr>
        <w:ind w:left="420" w:hanging="4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0">
    <w:nsid w:val="69D0BFE1"/>
    <w:multiLevelType w:val="singleLevel"/>
    <w:tmpl w:val="69D0BFE1"/>
    <w:lvl w:ilvl="0" w:tentative="0">
      <w:start w:val="1"/>
      <w:numFmt w:val="decimal"/>
      <w:lvlText w:val="%1."/>
      <w:lvlJc w:val="left"/>
      <w:pPr>
        <w:ind w:left="425" w:hanging="425"/>
      </w:pPr>
      <w:rPr>
        <w:rFonts w:hint="default"/>
      </w:rPr>
    </w:lvl>
  </w:abstractNum>
  <w:abstractNum w:abstractNumId="151">
    <w:nsid w:val="6AA63BFB"/>
    <w:multiLevelType w:val="singleLevel"/>
    <w:tmpl w:val="6AA63BFB"/>
    <w:lvl w:ilvl="0" w:tentative="0">
      <w:start w:val="1"/>
      <w:numFmt w:val="chineseCounting"/>
      <w:suff w:val="nothing"/>
      <w:lvlText w:val="（%1）"/>
      <w:lvlJc w:val="left"/>
      <w:pPr>
        <w:ind w:left="0" w:firstLine="420"/>
      </w:pPr>
      <w:rPr>
        <w:rFonts w:hint="eastAsia"/>
      </w:rPr>
    </w:lvl>
  </w:abstractNum>
  <w:abstractNum w:abstractNumId="152">
    <w:nsid w:val="6AA68E76"/>
    <w:multiLevelType w:val="singleLevel"/>
    <w:tmpl w:val="6AA68E76"/>
    <w:lvl w:ilvl="0" w:tentative="0">
      <w:start w:val="1"/>
      <w:numFmt w:val="decimal"/>
      <w:lvlText w:val="%1."/>
      <w:lvlJc w:val="left"/>
      <w:pPr>
        <w:ind w:left="425" w:hanging="425"/>
      </w:pPr>
      <w:rPr>
        <w:rFonts w:hint="default"/>
      </w:rPr>
    </w:lvl>
  </w:abstractNum>
  <w:abstractNum w:abstractNumId="153">
    <w:nsid w:val="6AB71CF2"/>
    <w:multiLevelType w:val="multilevel"/>
    <w:tmpl w:val="6AB71CF2"/>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4">
    <w:nsid w:val="6C5A52B4"/>
    <w:multiLevelType w:val="singleLevel"/>
    <w:tmpl w:val="6C5A52B4"/>
    <w:lvl w:ilvl="0" w:tentative="0">
      <w:start w:val="1"/>
      <w:numFmt w:val="decimal"/>
      <w:lvlText w:val="(%1)"/>
      <w:lvlJc w:val="left"/>
      <w:pPr>
        <w:ind w:left="425" w:hanging="425"/>
      </w:pPr>
      <w:rPr>
        <w:rFonts w:hint="default"/>
      </w:rPr>
    </w:lvl>
  </w:abstractNum>
  <w:abstractNum w:abstractNumId="155">
    <w:nsid w:val="6E2ABAE5"/>
    <w:multiLevelType w:val="singleLevel"/>
    <w:tmpl w:val="6E2ABAE5"/>
    <w:lvl w:ilvl="0" w:tentative="0">
      <w:start w:val="1"/>
      <w:numFmt w:val="decimal"/>
      <w:lvlText w:val="%1."/>
      <w:lvlJc w:val="left"/>
      <w:pPr>
        <w:ind w:left="425" w:hanging="425"/>
      </w:pPr>
      <w:rPr>
        <w:rFonts w:hint="default"/>
      </w:rPr>
    </w:lvl>
  </w:abstractNum>
  <w:abstractNum w:abstractNumId="156">
    <w:nsid w:val="6EAA60F0"/>
    <w:multiLevelType w:val="singleLevel"/>
    <w:tmpl w:val="6EAA60F0"/>
    <w:lvl w:ilvl="0" w:tentative="0">
      <w:start w:val="1"/>
      <w:numFmt w:val="decimal"/>
      <w:lvlText w:val="%1."/>
      <w:lvlJc w:val="left"/>
      <w:pPr>
        <w:ind w:left="425" w:hanging="425"/>
      </w:pPr>
      <w:rPr>
        <w:rFonts w:hint="default"/>
      </w:rPr>
    </w:lvl>
  </w:abstractNum>
  <w:abstractNum w:abstractNumId="157">
    <w:nsid w:val="6FD07716"/>
    <w:multiLevelType w:val="singleLevel"/>
    <w:tmpl w:val="6FD07716"/>
    <w:lvl w:ilvl="0" w:tentative="0">
      <w:start w:val="1"/>
      <w:numFmt w:val="chineseCounting"/>
      <w:suff w:val="nothing"/>
      <w:lvlText w:val="（%1）"/>
      <w:lvlJc w:val="left"/>
      <w:pPr>
        <w:ind w:left="0" w:firstLine="420"/>
      </w:pPr>
      <w:rPr>
        <w:rFonts w:hint="eastAsia"/>
      </w:rPr>
    </w:lvl>
  </w:abstractNum>
  <w:abstractNum w:abstractNumId="158">
    <w:nsid w:val="7061088D"/>
    <w:multiLevelType w:val="multilevel"/>
    <w:tmpl w:val="7061088D"/>
    <w:lvl w:ilvl="0" w:tentative="0">
      <w:start w:val="1"/>
      <w:numFmt w:val="decimal"/>
      <w:lvlText w:val="%1."/>
      <w:lvlJc w:val="left"/>
      <w:pPr>
        <w:tabs>
          <w:tab w:val="left" w:pos="420"/>
        </w:tabs>
        <w:ind w:left="42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9">
    <w:nsid w:val="71391A05"/>
    <w:multiLevelType w:val="singleLevel"/>
    <w:tmpl w:val="71391A05"/>
    <w:lvl w:ilvl="0" w:tentative="0">
      <w:start w:val="1"/>
      <w:numFmt w:val="chineseCounting"/>
      <w:suff w:val="nothing"/>
      <w:lvlText w:val="（%1）"/>
      <w:lvlJc w:val="left"/>
      <w:pPr>
        <w:ind w:left="0" w:firstLine="420"/>
      </w:pPr>
      <w:rPr>
        <w:rFonts w:hint="eastAsia"/>
      </w:rPr>
    </w:lvl>
  </w:abstractNum>
  <w:abstractNum w:abstractNumId="160">
    <w:nsid w:val="71FB37C6"/>
    <w:multiLevelType w:val="singleLevel"/>
    <w:tmpl w:val="71FB37C6"/>
    <w:lvl w:ilvl="0" w:tentative="0">
      <w:start w:val="1"/>
      <w:numFmt w:val="decimal"/>
      <w:lvlText w:val="%1."/>
      <w:lvlJc w:val="left"/>
      <w:pPr>
        <w:ind w:left="425" w:hanging="425"/>
      </w:pPr>
      <w:rPr>
        <w:rFonts w:hint="default"/>
      </w:rPr>
    </w:lvl>
  </w:abstractNum>
  <w:abstractNum w:abstractNumId="161">
    <w:nsid w:val="7203A594"/>
    <w:multiLevelType w:val="singleLevel"/>
    <w:tmpl w:val="7203A594"/>
    <w:lvl w:ilvl="0" w:tentative="0">
      <w:start w:val="1"/>
      <w:numFmt w:val="decimal"/>
      <w:lvlText w:val="(%1)"/>
      <w:lvlJc w:val="left"/>
      <w:pPr>
        <w:ind w:left="425" w:hanging="425"/>
      </w:pPr>
      <w:rPr>
        <w:rFonts w:hint="default"/>
      </w:rPr>
    </w:lvl>
  </w:abstractNum>
  <w:abstractNum w:abstractNumId="162">
    <w:nsid w:val="7493A891"/>
    <w:multiLevelType w:val="singleLevel"/>
    <w:tmpl w:val="7493A891"/>
    <w:lvl w:ilvl="0" w:tentative="0">
      <w:start w:val="1"/>
      <w:numFmt w:val="decimal"/>
      <w:lvlText w:val="(%1)"/>
      <w:lvlJc w:val="left"/>
      <w:pPr>
        <w:ind w:left="425" w:hanging="425"/>
      </w:pPr>
      <w:rPr>
        <w:rFonts w:hint="default"/>
      </w:rPr>
    </w:lvl>
  </w:abstractNum>
  <w:abstractNum w:abstractNumId="163">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4">
    <w:nsid w:val="7BDB64F3"/>
    <w:multiLevelType w:val="singleLevel"/>
    <w:tmpl w:val="7BDB64F3"/>
    <w:lvl w:ilvl="0" w:tentative="0">
      <w:start w:val="1"/>
      <w:numFmt w:val="decimal"/>
      <w:lvlText w:val="%1."/>
      <w:lvlJc w:val="left"/>
      <w:pPr>
        <w:ind w:left="425" w:hanging="425"/>
      </w:pPr>
      <w:rPr>
        <w:rFonts w:hint="default"/>
      </w:rPr>
    </w:lvl>
  </w:abstractNum>
  <w:abstractNum w:abstractNumId="165">
    <w:nsid w:val="7D579E72"/>
    <w:multiLevelType w:val="singleLevel"/>
    <w:tmpl w:val="7D579E72"/>
    <w:lvl w:ilvl="0" w:tentative="0">
      <w:start w:val="1"/>
      <w:numFmt w:val="chineseCounting"/>
      <w:suff w:val="nothing"/>
      <w:lvlText w:val="%1、"/>
      <w:lvlJc w:val="left"/>
      <w:pPr>
        <w:ind w:left="0" w:firstLine="420"/>
      </w:pPr>
      <w:rPr>
        <w:rFonts w:hint="eastAsia"/>
      </w:rPr>
    </w:lvl>
  </w:abstractNum>
  <w:num w:numId="1">
    <w:abstractNumId w:val="63"/>
  </w:num>
  <w:num w:numId="2">
    <w:abstractNumId w:val="121"/>
  </w:num>
  <w:num w:numId="3">
    <w:abstractNumId w:val="62"/>
  </w:num>
  <w:num w:numId="4">
    <w:abstractNumId w:val="155"/>
  </w:num>
  <w:num w:numId="5">
    <w:abstractNumId w:val="38"/>
  </w:num>
  <w:num w:numId="6">
    <w:abstractNumId w:val="160"/>
  </w:num>
  <w:num w:numId="7">
    <w:abstractNumId w:val="118"/>
  </w:num>
  <w:num w:numId="8">
    <w:abstractNumId w:val="122"/>
  </w:num>
  <w:num w:numId="9">
    <w:abstractNumId w:val="108"/>
  </w:num>
  <w:num w:numId="10">
    <w:abstractNumId w:val="136"/>
  </w:num>
  <w:num w:numId="11">
    <w:abstractNumId w:val="148"/>
  </w:num>
  <w:num w:numId="12">
    <w:abstractNumId w:val="64"/>
  </w:num>
  <w:num w:numId="13">
    <w:abstractNumId w:val="31"/>
  </w:num>
  <w:num w:numId="14">
    <w:abstractNumId w:val="143"/>
  </w:num>
  <w:num w:numId="15">
    <w:abstractNumId w:val="27"/>
  </w:num>
  <w:num w:numId="16">
    <w:abstractNumId w:val="69"/>
  </w:num>
  <w:num w:numId="17">
    <w:abstractNumId w:val="113"/>
  </w:num>
  <w:num w:numId="18">
    <w:abstractNumId w:val="135"/>
  </w:num>
  <w:num w:numId="19">
    <w:abstractNumId w:val="103"/>
  </w:num>
  <w:num w:numId="20">
    <w:abstractNumId w:val="78"/>
  </w:num>
  <w:num w:numId="21">
    <w:abstractNumId w:val="120"/>
  </w:num>
  <w:num w:numId="22">
    <w:abstractNumId w:val="45"/>
  </w:num>
  <w:num w:numId="23">
    <w:abstractNumId w:val="26"/>
  </w:num>
  <w:num w:numId="24">
    <w:abstractNumId w:val="145"/>
  </w:num>
  <w:num w:numId="25">
    <w:abstractNumId w:val="76"/>
  </w:num>
  <w:num w:numId="26">
    <w:abstractNumId w:val="147"/>
  </w:num>
  <w:num w:numId="27">
    <w:abstractNumId w:val="139"/>
  </w:num>
  <w:num w:numId="28">
    <w:abstractNumId w:val="164"/>
  </w:num>
  <w:num w:numId="29">
    <w:abstractNumId w:val="21"/>
  </w:num>
  <w:num w:numId="30">
    <w:abstractNumId w:val="50"/>
  </w:num>
  <w:num w:numId="31">
    <w:abstractNumId w:val="142"/>
  </w:num>
  <w:num w:numId="32">
    <w:abstractNumId w:val="98"/>
  </w:num>
  <w:num w:numId="33">
    <w:abstractNumId w:val="156"/>
  </w:num>
  <w:num w:numId="34">
    <w:abstractNumId w:val="125"/>
  </w:num>
  <w:num w:numId="35">
    <w:abstractNumId w:val="87"/>
  </w:num>
  <w:num w:numId="36">
    <w:abstractNumId w:val="43"/>
  </w:num>
  <w:num w:numId="37">
    <w:abstractNumId w:val="157"/>
  </w:num>
  <w:num w:numId="38">
    <w:abstractNumId w:val="16"/>
  </w:num>
  <w:num w:numId="39">
    <w:abstractNumId w:val="65"/>
  </w:num>
  <w:num w:numId="40">
    <w:abstractNumId w:val="94"/>
  </w:num>
  <w:num w:numId="41">
    <w:abstractNumId w:val="36"/>
  </w:num>
  <w:num w:numId="42">
    <w:abstractNumId w:val="141"/>
  </w:num>
  <w:num w:numId="43">
    <w:abstractNumId w:val="48"/>
  </w:num>
  <w:num w:numId="44">
    <w:abstractNumId w:val="10"/>
  </w:num>
  <w:num w:numId="45">
    <w:abstractNumId w:val="165"/>
  </w:num>
  <w:num w:numId="46">
    <w:abstractNumId w:val="117"/>
  </w:num>
  <w:num w:numId="47">
    <w:abstractNumId w:val="92"/>
  </w:num>
  <w:num w:numId="48">
    <w:abstractNumId w:val="91"/>
  </w:num>
  <w:num w:numId="49">
    <w:abstractNumId w:val="20"/>
  </w:num>
  <w:num w:numId="50">
    <w:abstractNumId w:val="55"/>
  </w:num>
  <w:num w:numId="51">
    <w:abstractNumId w:val="97"/>
  </w:num>
  <w:num w:numId="52">
    <w:abstractNumId w:val="77"/>
  </w:num>
  <w:num w:numId="53">
    <w:abstractNumId w:val="95"/>
  </w:num>
  <w:num w:numId="54">
    <w:abstractNumId w:val="57"/>
  </w:num>
  <w:num w:numId="55">
    <w:abstractNumId w:val="134"/>
  </w:num>
  <w:num w:numId="56">
    <w:abstractNumId w:val="151"/>
  </w:num>
  <w:num w:numId="57">
    <w:abstractNumId w:val="159"/>
  </w:num>
  <w:num w:numId="58">
    <w:abstractNumId w:val="99"/>
  </w:num>
  <w:num w:numId="59">
    <w:abstractNumId w:val="46"/>
  </w:num>
  <w:num w:numId="60">
    <w:abstractNumId w:val="105"/>
  </w:num>
  <w:num w:numId="61">
    <w:abstractNumId w:val="84"/>
  </w:num>
  <w:num w:numId="62">
    <w:abstractNumId w:val="66"/>
  </w:num>
  <w:num w:numId="63">
    <w:abstractNumId w:val="124"/>
  </w:num>
  <w:num w:numId="64">
    <w:abstractNumId w:val="32"/>
  </w:num>
  <w:num w:numId="65">
    <w:abstractNumId w:val="133"/>
  </w:num>
  <w:num w:numId="66">
    <w:abstractNumId w:val="90"/>
  </w:num>
  <w:num w:numId="67">
    <w:abstractNumId w:val="109"/>
  </w:num>
  <w:num w:numId="68">
    <w:abstractNumId w:val="58"/>
  </w:num>
  <w:num w:numId="69">
    <w:abstractNumId w:val="80"/>
  </w:num>
  <w:num w:numId="70">
    <w:abstractNumId w:val="114"/>
  </w:num>
  <w:num w:numId="71">
    <w:abstractNumId w:val="138"/>
  </w:num>
  <w:num w:numId="72">
    <w:abstractNumId w:val="123"/>
  </w:num>
  <w:num w:numId="73">
    <w:abstractNumId w:val="162"/>
  </w:num>
  <w:num w:numId="74">
    <w:abstractNumId w:val="137"/>
  </w:num>
  <w:num w:numId="75">
    <w:abstractNumId w:val="51"/>
  </w:num>
  <w:num w:numId="76">
    <w:abstractNumId w:val="144"/>
  </w:num>
  <w:num w:numId="77">
    <w:abstractNumId w:val="28"/>
  </w:num>
  <w:num w:numId="78">
    <w:abstractNumId w:val="4"/>
  </w:num>
  <w:num w:numId="79">
    <w:abstractNumId w:val="40"/>
  </w:num>
  <w:num w:numId="80">
    <w:abstractNumId w:val="106"/>
  </w:num>
  <w:num w:numId="81">
    <w:abstractNumId w:val="67"/>
  </w:num>
  <w:num w:numId="82">
    <w:abstractNumId w:val="13"/>
  </w:num>
  <w:num w:numId="83">
    <w:abstractNumId w:val="3"/>
  </w:num>
  <w:num w:numId="84">
    <w:abstractNumId w:val="112"/>
  </w:num>
  <w:num w:numId="85">
    <w:abstractNumId w:val="150"/>
  </w:num>
  <w:num w:numId="86">
    <w:abstractNumId w:val="39"/>
  </w:num>
  <w:num w:numId="87">
    <w:abstractNumId w:val="158"/>
  </w:num>
  <w:num w:numId="88">
    <w:abstractNumId w:val="115"/>
  </w:num>
  <w:num w:numId="89">
    <w:abstractNumId w:val="140"/>
  </w:num>
  <w:num w:numId="90">
    <w:abstractNumId w:val="59"/>
  </w:num>
  <w:num w:numId="91">
    <w:abstractNumId w:val="54"/>
  </w:num>
  <w:num w:numId="92">
    <w:abstractNumId w:val="2"/>
  </w:num>
  <w:num w:numId="93">
    <w:abstractNumId w:val="35"/>
  </w:num>
  <w:num w:numId="94">
    <w:abstractNumId w:val="18"/>
  </w:num>
  <w:num w:numId="95">
    <w:abstractNumId w:val="14"/>
  </w:num>
  <w:num w:numId="96">
    <w:abstractNumId w:val="34"/>
  </w:num>
  <w:num w:numId="97">
    <w:abstractNumId w:val="73"/>
  </w:num>
  <w:num w:numId="98">
    <w:abstractNumId w:val="88"/>
  </w:num>
  <w:num w:numId="99">
    <w:abstractNumId w:val="41"/>
  </w:num>
  <w:num w:numId="100">
    <w:abstractNumId w:val="29"/>
  </w:num>
  <w:num w:numId="101">
    <w:abstractNumId w:val="71"/>
  </w:num>
  <w:num w:numId="102">
    <w:abstractNumId w:val="152"/>
  </w:num>
  <w:num w:numId="103">
    <w:abstractNumId w:val="7"/>
  </w:num>
  <w:num w:numId="104">
    <w:abstractNumId w:val="93"/>
  </w:num>
  <w:num w:numId="105">
    <w:abstractNumId w:val="110"/>
  </w:num>
  <w:num w:numId="106">
    <w:abstractNumId w:val="85"/>
  </w:num>
  <w:num w:numId="107">
    <w:abstractNumId w:val="42"/>
  </w:num>
  <w:num w:numId="108">
    <w:abstractNumId w:val="12"/>
  </w:num>
  <w:num w:numId="109">
    <w:abstractNumId w:val="68"/>
  </w:num>
  <w:num w:numId="110">
    <w:abstractNumId w:val="154"/>
  </w:num>
  <w:num w:numId="111">
    <w:abstractNumId w:val="30"/>
  </w:num>
  <w:num w:numId="112">
    <w:abstractNumId w:val="56"/>
  </w:num>
  <w:num w:numId="113">
    <w:abstractNumId w:val="0"/>
  </w:num>
  <w:num w:numId="114">
    <w:abstractNumId w:val="82"/>
  </w:num>
  <w:num w:numId="115">
    <w:abstractNumId w:val="49"/>
  </w:num>
  <w:num w:numId="116">
    <w:abstractNumId w:val="37"/>
  </w:num>
  <w:num w:numId="117">
    <w:abstractNumId w:val="1"/>
  </w:num>
  <w:num w:numId="118">
    <w:abstractNumId w:val="61"/>
  </w:num>
  <w:num w:numId="119">
    <w:abstractNumId w:val="11"/>
  </w:num>
  <w:num w:numId="120">
    <w:abstractNumId w:val="161"/>
  </w:num>
  <w:num w:numId="121">
    <w:abstractNumId w:val="104"/>
  </w:num>
  <w:num w:numId="122">
    <w:abstractNumId w:val="86"/>
  </w:num>
  <w:num w:numId="123">
    <w:abstractNumId w:val="47"/>
  </w:num>
  <w:num w:numId="124">
    <w:abstractNumId w:val="5"/>
  </w:num>
  <w:num w:numId="125">
    <w:abstractNumId w:val="53"/>
  </w:num>
  <w:num w:numId="126">
    <w:abstractNumId w:val="6"/>
  </w:num>
  <w:num w:numId="127">
    <w:abstractNumId w:val="9"/>
  </w:num>
  <w:num w:numId="128">
    <w:abstractNumId w:val="33"/>
  </w:num>
  <w:num w:numId="129">
    <w:abstractNumId w:val="17"/>
  </w:num>
  <w:num w:numId="130">
    <w:abstractNumId w:val="72"/>
  </w:num>
  <w:num w:numId="131">
    <w:abstractNumId w:val="146"/>
  </w:num>
  <w:num w:numId="132">
    <w:abstractNumId w:val="52"/>
  </w:num>
  <w:num w:numId="133">
    <w:abstractNumId w:val="15"/>
  </w:num>
  <w:num w:numId="134">
    <w:abstractNumId w:val="102"/>
  </w:num>
  <w:num w:numId="135">
    <w:abstractNumId w:val="101"/>
  </w:num>
  <w:num w:numId="136">
    <w:abstractNumId w:val="44"/>
  </w:num>
  <w:num w:numId="137">
    <w:abstractNumId w:val="116"/>
  </w:num>
  <w:num w:numId="138">
    <w:abstractNumId w:val="75"/>
  </w:num>
  <w:num w:numId="139">
    <w:abstractNumId w:val="19"/>
  </w:num>
  <w:num w:numId="140">
    <w:abstractNumId w:val="24"/>
  </w:num>
  <w:num w:numId="141">
    <w:abstractNumId w:val="128"/>
  </w:num>
  <w:num w:numId="142">
    <w:abstractNumId w:val="96"/>
  </w:num>
  <w:num w:numId="143">
    <w:abstractNumId w:val="129"/>
  </w:num>
  <w:num w:numId="144">
    <w:abstractNumId w:val="132"/>
  </w:num>
  <w:num w:numId="145">
    <w:abstractNumId w:val="127"/>
  </w:num>
  <w:num w:numId="146">
    <w:abstractNumId w:val="89"/>
  </w:num>
  <w:num w:numId="147">
    <w:abstractNumId w:val="100"/>
  </w:num>
  <w:num w:numId="148">
    <w:abstractNumId w:val="163"/>
  </w:num>
  <w:num w:numId="149">
    <w:abstractNumId w:val="126"/>
  </w:num>
  <w:num w:numId="150">
    <w:abstractNumId w:val="25"/>
  </w:num>
  <w:num w:numId="151">
    <w:abstractNumId w:val="22"/>
  </w:num>
  <w:num w:numId="152">
    <w:abstractNumId w:val="111"/>
  </w:num>
  <w:num w:numId="153">
    <w:abstractNumId w:val="79"/>
  </w:num>
  <w:num w:numId="154">
    <w:abstractNumId w:val="153"/>
  </w:num>
  <w:num w:numId="155">
    <w:abstractNumId w:val="130"/>
  </w:num>
  <w:num w:numId="156">
    <w:abstractNumId w:val="131"/>
  </w:num>
  <w:num w:numId="157">
    <w:abstractNumId w:val="70"/>
  </w:num>
  <w:num w:numId="158">
    <w:abstractNumId w:val="149"/>
  </w:num>
  <w:num w:numId="159">
    <w:abstractNumId w:val="74"/>
  </w:num>
  <w:num w:numId="160">
    <w:abstractNumId w:val="119"/>
  </w:num>
  <w:num w:numId="161">
    <w:abstractNumId w:val="83"/>
  </w:num>
  <w:num w:numId="162">
    <w:abstractNumId w:val="81"/>
  </w:num>
  <w:num w:numId="163">
    <w:abstractNumId w:val="8"/>
  </w:num>
  <w:num w:numId="164">
    <w:abstractNumId w:val="60"/>
  </w:num>
  <w:num w:numId="165">
    <w:abstractNumId w:val="107"/>
  </w:num>
  <w:num w:numId="16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JjYzJhNDZkZjEwNzRlZDYzYzc3YjI4NWViMjIzMDQifQ=="/>
  </w:docVars>
  <w:rsids>
    <w:rsidRoot w:val="00020218"/>
    <w:rsid w:val="00020218"/>
    <w:rsid w:val="000D0872"/>
    <w:rsid w:val="00101468"/>
    <w:rsid w:val="00335A0F"/>
    <w:rsid w:val="00356B41"/>
    <w:rsid w:val="00462753"/>
    <w:rsid w:val="007E24E5"/>
    <w:rsid w:val="008B7A96"/>
    <w:rsid w:val="00944CB3"/>
    <w:rsid w:val="009A6F1A"/>
    <w:rsid w:val="00A70A38"/>
    <w:rsid w:val="00B26306"/>
    <w:rsid w:val="00CA62D7"/>
    <w:rsid w:val="035A55BB"/>
    <w:rsid w:val="040C4DEF"/>
    <w:rsid w:val="052B264F"/>
    <w:rsid w:val="08533501"/>
    <w:rsid w:val="08C169FB"/>
    <w:rsid w:val="0BEC4ED7"/>
    <w:rsid w:val="1176487E"/>
    <w:rsid w:val="14923058"/>
    <w:rsid w:val="288F7F74"/>
    <w:rsid w:val="313A1229"/>
    <w:rsid w:val="33F63BF4"/>
    <w:rsid w:val="34272B94"/>
    <w:rsid w:val="391C4AB7"/>
    <w:rsid w:val="39EE6158"/>
    <w:rsid w:val="456357CB"/>
    <w:rsid w:val="4A8D798E"/>
    <w:rsid w:val="4B675939"/>
    <w:rsid w:val="4BB72B77"/>
    <w:rsid w:val="4FCF53A1"/>
    <w:rsid w:val="5E1E53E0"/>
    <w:rsid w:val="61F96E44"/>
    <w:rsid w:val="65461AE9"/>
    <w:rsid w:val="66890E5F"/>
    <w:rsid w:val="6EB42910"/>
    <w:rsid w:val="714245CD"/>
    <w:rsid w:val="72CD5D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9" w:name="heading 5"/>
    <w:lsdException w:qFormat="1" w:unhideWhenUsed="0" w:uiPriority="1"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ink w:val="30"/>
    <w:qFormat/>
    <w:uiPriority w:val="0"/>
    <w:pPr>
      <w:keepNext/>
      <w:widowControl/>
      <w:jc w:val="left"/>
      <w:outlineLvl w:val="0"/>
    </w:pPr>
    <w:rPr>
      <w:b/>
      <w:bCs/>
      <w:kern w:val="0"/>
      <w:sz w:val="24"/>
    </w:rPr>
  </w:style>
  <w:style w:type="paragraph" w:styleId="5">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32"/>
    <w:qFormat/>
    <w:uiPriority w:val="0"/>
    <w:pPr>
      <w:keepNext/>
      <w:outlineLvl w:val="2"/>
    </w:pPr>
    <w:rPr>
      <w:rFonts w:ascii="楷体_GB2312" w:hAnsi="宋体" w:eastAsia="楷体_GB2312"/>
      <w:b/>
      <w:bCs/>
      <w:sz w:val="32"/>
    </w:rPr>
  </w:style>
  <w:style w:type="paragraph" w:styleId="7">
    <w:name w:val="heading 4"/>
    <w:basedOn w:val="8"/>
    <w:next w:val="8"/>
    <w:link w:val="33"/>
    <w:qFormat/>
    <w:uiPriority w:val="1"/>
    <w:pPr>
      <w:ind w:left="1091"/>
      <w:outlineLvl w:val="3"/>
    </w:pPr>
    <w:rPr>
      <w:rFonts w:ascii="宋体" w:hAnsi="宋体" w:cs="宋体"/>
      <w:b/>
      <w:bCs/>
      <w:sz w:val="28"/>
      <w:szCs w:val="28"/>
      <w:lang w:val="zh-CN" w:bidi="zh-CN"/>
    </w:rPr>
  </w:style>
  <w:style w:type="paragraph" w:styleId="10">
    <w:name w:val="heading 6"/>
    <w:basedOn w:val="8"/>
    <w:next w:val="8"/>
    <w:link w:val="34"/>
    <w:qFormat/>
    <w:uiPriority w:val="1"/>
    <w:pPr>
      <w:ind w:left="791"/>
      <w:outlineLvl w:val="5"/>
    </w:pPr>
    <w:rPr>
      <w:rFonts w:ascii="宋体" w:hAnsi="宋体" w:cs="宋体"/>
      <w:b/>
      <w:bCs/>
      <w:szCs w:val="21"/>
      <w:lang w:val="zh-CN" w:bidi="zh-CN"/>
    </w:rPr>
  </w:style>
  <w:style w:type="character" w:default="1" w:styleId="24">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2">
    <w:name w:val="Body Text"/>
    <w:basedOn w:val="1"/>
    <w:next w:val="3"/>
    <w:link w:val="35"/>
    <w:qFormat/>
    <w:uiPriority w:val="0"/>
    <w:pPr>
      <w:spacing w:after="120"/>
    </w:pPr>
  </w:style>
  <w:style w:type="paragraph" w:styleId="3">
    <w:name w:val="Body Text 2"/>
    <w:basedOn w:val="1"/>
    <w:link w:val="36"/>
    <w:qFormat/>
    <w:uiPriority w:val="0"/>
  </w:style>
  <w:style w:type="paragraph" w:customStyle="1" w:styleId="8">
    <w:name w:val="正文_0_1"/>
    <w:basedOn w:val="9"/>
    <w:next w:val="4"/>
    <w:qFormat/>
    <w:uiPriority w:val="0"/>
  </w:style>
  <w:style w:type="paragraph" w:customStyle="1" w:styleId="9">
    <w:name w:val="正文_1_1"/>
    <w:next w:val="5"/>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1">
    <w:name w:val="Normal Indent"/>
    <w:basedOn w:val="1"/>
    <w:next w:val="12"/>
    <w:qFormat/>
    <w:uiPriority w:val="0"/>
    <w:pPr>
      <w:ind w:firstLine="420" w:firstLineChars="200"/>
    </w:pPr>
    <w:rPr>
      <w:szCs w:val="21"/>
    </w:rPr>
  </w:style>
  <w:style w:type="paragraph" w:customStyle="1" w:styleId="12">
    <w:name w:val="Default"/>
    <w:unhideWhenUsed/>
    <w:qFormat/>
    <w:uiPriority w:val="99"/>
    <w:pPr>
      <w:widowControl w:val="0"/>
      <w:autoSpaceDE w:val="0"/>
      <w:autoSpaceDN w:val="0"/>
      <w:adjustRightInd w:val="0"/>
    </w:pPr>
    <w:rPr>
      <w:rFonts w:hint="eastAsia" w:ascii="宋体" w:hAnsi="宋体" w:eastAsia="宋体" w:cs="Times New Roman"/>
      <w:color w:val="000000"/>
      <w:kern w:val="0"/>
      <w:sz w:val="24"/>
      <w:szCs w:val="20"/>
      <w:lang w:val="en-US" w:eastAsia="zh-CN" w:bidi="ar-SA"/>
    </w:rPr>
  </w:style>
  <w:style w:type="paragraph" w:styleId="13">
    <w:name w:val="annotation text"/>
    <w:basedOn w:val="1"/>
    <w:link w:val="37"/>
    <w:qFormat/>
    <w:uiPriority w:val="99"/>
    <w:pPr>
      <w:jc w:val="left"/>
    </w:pPr>
  </w:style>
  <w:style w:type="paragraph" w:styleId="14">
    <w:name w:val="footer"/>
    <w:basedOn w:val="1"/>
    <w:link w:val="38"/>
    <w:qFormat/>
    <w:uiPriority w:val="0"/>
    <w:pPr>
      <w:tabs>
        <w:tab w:val="center" w:pos="4153"/>
        <w:tab w:val="right" w:pos="8306"/>
      </w:tabs>
      <w:snapToGrid w:val="0"/>
      <w:jc w:val="left"/>
    </w:pPr>
    <w:rPr>
      <w:sz w:val="18"/>
      <w:szCs w:val="18"/>
    </w:rPr>
  </w:style>
  <w:style w:type="paragraph" w:styleId="15">
    <w:name w:val="header"/>
    <w:basedOn w:val="1"/>
    <w:link w:val="39"/>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9060"/>
      </w:tabs>
      <w:spacing w:line="360" w:lineRule="auto"/>
    </w:pPr>
    <w:rPr>
      <w:szCs w:val="20"/>
    </w:rPr>
  </w:style>
  <w:style w:type="paragraph" w:styleId="17">
    <w:name w:val="Body Text Indent 3"/>
    <w:basedOn w:val="1"/>
    <w:link w:val="40"/>
    <w:qFormat/>
    <w:uiPriority w:val="0"/>
    <w:pPr>
      <w:spacing w:line="360" w:lineRule="auto"/>
      <w:ind w:left="1260" w:leftChars="600"/>
    </w:pPr>
    <w:rPr>
      <w:rFonts w:ascii="宋体" w:hAnsi="宋体"/>
      <w:b/>
      <w:bCs/>
      <w:sz w:val="24"/>
    </w:rPr>
  </w:style>
  <w:style w:type="paragraph" w:styleId="18">
    <w:name w:val="HTML Preformatted"/>
    <w:basedOn w:val="19"/>
    <w:link w:val="4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customStyle="1" w:styleId="19">
    <w:name w:val="正文_1_1_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annotation subject"/>
    <w:basedOn w:val="13"/>
    <w:next w:val="13"/>
    <w:link w:val="70"/>
    <w:unhideWhenUsed/>
    <w:qFormat/>
    <w:uiPriority w:val="99"/>
    <w:rPr>
      <w:b/>
      <w:bCs/>
    </w:rPr>
  </w:style>
  <w:style w:type="table" w:styleId="23">
    <w:name w:val="Table Grid"/>
    <w:basedOn w:val="22"/>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page number"/>
    <w:basedOn w:val="24"/>
    <w:qFormat/>
    <w:uiPriority w:val="0"/>
  </w:style>
  <w:style w:type="character" w:styleId="27">
    <w:name w:val="Emphasis"/>
    <w:basedOn w:val="24"/>
    <w:qFormat/>
    <w:uiPriority w:val="0"/>
    <w:rPr>
      <w:i/>
    </w:rPr>
  </w:style>
  <w:style w:type="character" w:styleId="28">
    <w:name w:val="Hyperlink"/>
    <w:qFormat/>
    <w:uiPriority w:val="99"/>
    <w:rPr>
      <w:color w:val="000000"/>
      <w:sz w:val="18"/>
      <w:szCs w:val="18"/>
      <w:u w:val="none"/>
    </w:rPr>
  </w:style>
  <w:style w:type="character" w:styleId="29">
    <w:name w:val="annotation reference"/>
    <w:semiHidden/>
    <w:qFormat/>
    <w:uiPriority w:val="0"/>
    <w:rPr>
      <w:sz w:val="21"/>
      <w:szCs w:val="21"/>
    </w:rPr>
  </w:style>
  <w:style w:type="character" w:customStyle="1" w:styleId="30">
    <w:name w:val="标题 1 字符"/>
    <w:basedOn w:val="24"/>
    <w:link w:val="4"/>
    <w:qFormat/>
    <w:uiPriority w:val="0"/>
    <w:rPr>
      <w:rFonts w:ascii="Calibri" w:hAnsi="Calibri" w:eastAsia="宋体" w:cs="Times New Roman"/>
      <w:b/>
      <w:bCs/>
      <w:kern w:val="0"/>
      <w:sz w:val="24"/>
      <w:szCs w:val="24"/>
    </w:rPr>
  </w:style>
  <w:style w:type="character" w:customStyle="1" w:styleId="31">
    <w:name w:val="标题 2 字符"/>
    <w:basedOn w:val="24"/>
    <w:link w:val="5"/>
    <w:qFormat/>
    <w:uiPriority w:val="0"/>
    <w:rPr>
      <w:rFonts w:ascii="Arial" w:hAnsi="Arial" w:eastAsia="黑体" w:cs="Times New Roman"/>
      <w:b/>
      <w:bCs/>
      <w:sz w:val="32"/>
      <w:szCs w:val="32"/>
    </w:rPr>
  </w:style>
  <w:style w:type="character" w:customStyle="1" w:styleId="32">
    <w:name w:val="标题 3 字符"/>
    <w:basedOn w:val="24"/>
    <w:link w:val="6"/>
    <w:qFormat/>
    <w:uiPriority w:val="0"/>
    <w:rPr>
      <w:rFonts w:ascii="楷体_GB2312" w:hAnsi="宋体" w:eastAsia="楷体_GB2312" w:cs="Times New Roman"/>
      <w:b/>
      <w:bCs/>
      <w:sz w:val="32"/>
      <w:szCs w:val="24"/>
    </w:rPr>
  </w:style>
  <w:style w:type="character" w:customStyle="1" w:styleId="33">
    <w:name w:val="标题 4 字符"/>
    <w:basedOn w:val="24"/>
    <w:link w:val="7"/>
    <w:qFormat/>
    <w:uiPriority w:val="1"/>
    <w:rPr>
      <w:rFonts w:ascii="宋体" w:hAnsi="宋体" w:eastAsia="宋体" w:cs="宋体"/>
      <w:b/>
      <w:bCs/>
      <w:sz w:val="28"/>
      <w:szCs w:val="28"/>
      <w:lang w:val="zh-CN" w:bidi="zh-CN"/>
    </w:rPr>
  </w:style>
  <w:style w:type="character" w:customStyle="1" w:styleId="34">
    <w:name w:val="标题 6 字符"/>
    <w:basedOn w:val="24"/>
    <w:link w:val="10"/>
    <w:qFormat/>
    <w:uiPriority w:val="1"/>
    <w:rPr>
      <w:rFonts w:ascii="宋体" w:hAnsi="宋体" w:eastAsia="宋体" w:cs="宋体"/>
      <w:b/>
      <w:bCs/>
      <w:szCs w:val="21"/>
      <w:lang w:val="zh-CN" w:bidi="zh-CN"/>
    </w:rPr>
  </w:style>
  <w:style w:type="character" w:customStyle="1" w:styleId="35">
    <w:name w:val="正文文本 字符"/>
    <w:basedOn w:val="24"/>
    <w:link w:val="2"/>
    <w:qFormat/>
    <w:uiPriority w:val="0"/>
    <w:rPr>
      <w:rFonts w:ascii="Calibri" w:hAnsi="Calibri" w:eastAsia="宋体" w:cs="Times New Roman"/>
      <w:szCs w:val="24"/>
    </w:rPr>
  </w:style>
  <w:style w:type="character" w:customStyle="1" w:styleId="36">
    <w:name w:val="正文文本 2 字符"/>
    <w:basedOn w:val="24"/>
    <w:link w:val="3"/>
    <w:qFormat/>
    <w:uiPriority w:val="0"/>
    <w:rPr>
      <w:rFonts w:ascii="Calibri" w:hAnsi="Calibri" w:eastAsia="宋体" w:cs="Times New Roman"/>
      <w:szCs w:val="24"/>
    </w:rPr>
  </w:style>
  <w:style w:type="character" w:customStyle="1" w:styleId="37">
    <w:name w:val="批注文字 字符"/>
    <w:basedOn w:val="24"/>
    <w:link w:val="13"/>
    <w:qFormat/>
    <w:uiPriority w:val="99"/>
    <w:rPr>
      <w:rFonts w:ascii="Calibri" w:hAnsi="Calibri" w:eastAsia="宋体" w:cs="Times New Roman"/>
      <w:szCs w:val="24"/>
    </w:rPr>
  </w:style>
  <w:style w:type="character" w:customStyle="1" w:styleId="38">
    <w:name w:val="页脚 字符"/>
    <w:basedOn w:val="24"/>
    <w:link w:val="14"/>
    <w:qFormat/>
    <w:uiPriority w:val="0"/>
    <w:rPr>
      <w:rFonts w:ascii="Calibri" w:hAnsi="Calibri" w:eastAsia="宋体" w:cs="Times New Roman"/>
      <w:sz w:val="18"/>
      <w:szCs w:val="18"/>
    </w:rPr>
  </w:style>
  <w:style w:type="character" w:customStyle="1" w:styleId="39">
    <w:name w:val="页眉 字符"/>
    <w:basedOn w:val="24"/>
    <w:link w:val="15"/>
    <w:qFormat/>
    <w:uiPriority w:val="0"/>
    <w:rPr>
      <w:rFonts w:ascii="Calibri" w:hAnsi="Calibri" w:eastAsia="宋体" w:cs="Times New Roman"/>
      <w:sz w:val="18"/>
      <w:szCs w:val="18"/>
    </w:rPr>
  </w:style>
  <w:style w:type="character" w:customStyle="1" w:styleId="40">
    <w:name w:val="正文文本缩进 3 字符"/>
    <w:basedOn w:val="24"/>
    <w:link w:val="17"/>
    <w:qFormat/>
    <w:uiPriority w:val="0"/>
    <w:rPr>
      <w:rFonts w:ascii="宋体" w:hAnsi="宋体" w:eastAsia="宋体" w:cs="Times New Roman"/>
      <w:b/>
      <w:bCs/>
      <w:sz w:val="24"/>
      <w:szCs w:val="24"/>
    </w:rPr>
  </w:style>
  <w:style w:type="character" w:customStyle="1" w:styleId="41">
    <w:name w:val="HTML 预设格式 字符"/>
    <w:basedOn w:val="24"/>
    <w:link w:val="18"/>
    <w:qFormat/>
    <w:uiPriority w:val="99"/>
    <w:rPr>
      <w:rFonts w:ascii="宋体" w:hAnsi="宋体" w:eastAsia="宋体" w:cs="Times New Roman"/>
      <w:kern w:val="0"/>
      <w:sz w:val="24"/>
      <w:szCs w:val="24"/>
    </w:rPr>
  </w:style>
  <w:style w:type="paragraph" w:customStyle="1" w:styleId="42">
    <w:name w:val="Plain Text1"/>
    <w:basedOn w:val="1"/>
    <w:qFormat/>
    <w:uiPriority w:val="0"/>
    <w:rPr>
      <w:rFonts w:ascii="宋体" w:hAnsi="Courier New" w:cs="Courier New"/>
      <w:szCs w:val="21"/>
    </w:rPr>
  </w:style>
  <w:style w:type="paragraph" w:customStyle="1" w:styleId="43">
    <w:name w:val="表格文字"/>
    <w:basedOn w:val="1"/>
    <w:qFormat/>
    <w:uiPriority w:val="0"/>
    <w:pPr>
      <w:spacing w:before="25" w:after="25"/>
      <w:jc w:val="left"/>
    </w:pPr>
    <w:rPr>
      <w:bCs/>
      <w:spacing w:val="10"/>
      <w:kern w:val="0"/>
      <w:sz w:val="24"/>
    </w:rPr>
  </w:style>
  <w:style w:type="paragraph" w:customStyle="1" w:styleId="44">
    <w:name w:val="正文缩进1"/>
    <w:basedOn w:val="1"/>
    <w:next w:val="12"/>
    <w:qFormat/>
    <w:uiPriority w:val="0"/>
    <w:pPr>
      <w:ind w:firstLine="420" w:firstLineChars="200"/>
    </w:pPr>
    <w:rPr>
      <w:szCs w:val="21"/>
    </w:rPr>
  </w:style>
  <w:style w:type="paragraph" w:customStyle="1" w:styleId="45">
    <w:name w:val="正文_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6">
    <w:name w:val="正文_0_0_0"/>
    <w:basedOn w:val="47"/>
    <w:qFormat/>
    <w:uiPriority w:val="0"/>
  </w:style>
  <w:style w:type="paragraph" w:customStyle="1" w:styleId="47">
    <w:name w:val="正文_1_0"/>
    <w:next w:val="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Normal Indent1"/>
    <w:basedOn w:val="1"/>
    <w:qFormat/>
    <w:uiPriority w:val="0"/>
    <w:pPr>
      <w:ind w:firstLine="420" w:firstLineChars="200"/>
    </w:pPr>
  </w:style>
  <w:style w:type="paragraph" w:customStyle="1" w:styleId="49">
    <w:name w:val="正文_1"/>
    <w:next w:val="4"/>
    <w:qFormat/>
    <w:uiPriority w:val="0"/>
    <w:pPr>
      <w:widowControl w:val="0"/>
      <w:jc w:val="both"/>
    </w:pPr>
    <w:rPr>
      <w:rFonts w:ascii="Times New Roman" w:hAnsi="Times New Roman" w:eastAsia="宋体" w:cs="Calibri"/>
      <w:kern w:val="2"/>
      <w:sz w:val="21"/>
      <w:szCs w:val="21"/>
      <w:lang w:val="en-US" w:eastAsia="zh-CN" w:bidi="ar-SA"/>
    </w:rPr>
  </w:style>
  <w:style w:type="character" w:customStyle="1" w:styleId="50">
    <w:name w:val="16"/>
    <w:qFormat/>
    <w:uiPriority w:val="0"/>
    <w:rPr>
      <w:rFonts w:hint="default" w:ascii="Times New Roman" w:hAnsi="Times New Roman" w:cs="Times New Roman"/>
    </w:rPr>
  </w:style>
  <w:style w:type="character" w:customStyle="1" w:styleId="51">
    <w:name w:val="font11"/>
    <w:basedOn w:val="24"/>
    <w:qFormat/>
    <w:uiPriority w:val="0"/>
    <w:rPr>
      <w:rFonts w:hint="eastAsia" w:ascii="宋体" w:hAnsi="宋体" w:eastAsia="宋体" w:cs="宋体"/>
      <w:color w:val="000000"/>
      <w:sz w:val="21"/>
      <w:szCs w:val="21"/>
      <w:u w:val="none"/>
    </w:rPr>
  </w:style>
  <w:style w:type="paragraph" w:customStyle="1" w:styleId="52">
    <w:name w:val="普通(网站)_0"/>
    <w:basedOn w:val="8"/>
    <w:unhideWhenUsed/>
    <w:qFormat/>
    <w:uiPriority w:val="99"/>
    <w:pPr>
      <w:widowControl/>
      <w:spacing w:before="100" w:beforeAutospacing="1" w:after="100" w:afterAutospacing="1"/>
      <w:jc w:val="left"/>
    </w:pPr>
    <w:rPr>
      <w:rFonts w:ascii="宋体" w:hAnsi="宋体" w:cs="宋体"/>
      <w:kern w:val="0"/>
      <w:sz w:val="24"/>
      <w:szCs w:val="24"/>
    </w:rPr>
  </w:style>
  <w:style w:type="paragraph" w:customStyle="1" w:styleId="53">
    <w:name w:val="正文_0_0"/>
    <w:basedOn w:val="47"/>
    <w:next w:val="5"/>
    <w:qFormat/>
    <w:uiPriority w:val="0"/>
  </w:style>
  <w:style w:type="paragraph" w:customStyle="1" w:styleId="54">
    <w:name w:val="文件标题"/>
    <w:basedOn w:val="1"/>
    <w:qFormat/>
    <w:uiPriority w:val="99"/>
    <w:pPr>
      <w:numPr>
        <w:ilvl w:val="0"/>
        <w:numId w:val="1"/>
      </w:numPr>
    </w:pPr>
    <w:rPr>
      <w:rFonts w:ascii="宋体" w:hAnsi="宋体" w:cs="宋体"/>
      <w:szCs w:val="21"/>
    </w:rPr>
  </w:style>
  <w:style w:type="paragraph" w:customStyle="1" w:styleId="55">
    <w:name w:val="[Normal]"/>
    <w:qFormat/>
    <w:uiPriority w:val="0"/>
    <w:rPr>
      <w:rFonts w:ascii="宋体" w:hAnsi="宋体" w:eastAsia="宋体" w:cs="Times New Roman"/>
      <w:kern w:val="0"/>
      <w:sz w:val="24"/>
      <w:szCs w:val="20"/>
      <w:lang w:val="en-US" w:eastAsia="en-US" w:bidi="ar-SA"/>
    </w:rPr>
  </w:style>
  <w:style w:type="paragraph" w:customStyle="1" w:styleId="56">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正文_1_1_0_0"/>
    <w:qFormat/>
    <w:uiPriority w:val="0"/>
    <w:pPr>
      <w:widowControl w:val="0"/>
      <w:jc w:val="both"/>
    </w:pPr>
    <w:rPr>
      <w:rFonts w:ascii="Calibri" w:hAnsi="Calibri" w:eastAsia="宋体" w:cs="Times New Roman"/>
      <w:color w:val="0000FF"/>
      <w:kern w:val="2"/>
      <w:sz w:val="24"/>
      <w:szCs w:val="24"/>
      <w:lang w:val="en-US" w:eastAsia="zh-CN" w:bidi="ar-SA"/>
    </w:rPr>
  </w:style>
  <w:style w:type="paragraph" w:customStyle="1" w:styleId="58">
    <w:name w:val="_Style 21"/>
    <w:basedOn w:val="57"/>
    <w:qFormat/>
    <w:uiPriority w:val="99"/>
    <w:pPr>
      <w:ind w:firstLine="420" w:firstLineChars="200"/>
    </w:pPr>
    <w:rPr>
      <w:rFonts w:ascii="Times New Roman" w:hAnsi="Times New Roman" w:cs="宋体"/>
      <w:szCs w:val="21"/>
    </w:rPr>
  </w:style>
  <w:style w:type="paragraph" w:customStyle="1" w:styleId="59">
    <w:name w:val="_Style 3"/>
    <w:basedOn w:val="1"/>
    <w:next w:val="17"/>
    <w:qFormat/>
    <w:uiPriority w:val="34"/>
    <w:pPr>
      <w:ind w:firstLine="420" w:firstLineChars="200"/>
    </w:pPr>
    <w:rPr>
      <w:sz w:val="24"/>
      <w:szCs w:val="22"/>
    </w:rPr>
  </w:style>
  <w:style w:type="paragraph" w:customStyle="1" w:styleId="60">
    <w:name w:val="正文_0_0_0_0"/>
    <w:qFormat/>
    <w:uiPriority w:val="99"/>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61">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2">
    <w:name w:val="列表段落1"/>
    <w:basedOn w:val="8"/>
    <w:qFormat/>
    <w:uiPriority w:val="99"/>
    <w:pPr>
      <w:ind w:firstLine="420" w:firstLineChars="200"/>
    </w:pPr>
  </w:style>
  <w:style w:type="paragraph" w:customStyle="1" w:styleId="63">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64">
    <w:name w:val="正文缩进_0"/>
    <w:basedOn w:val="47"/>
    <w:unhideWhenUsed/>
    <w:qFormat/>
    <w:uiPriority w:val="0"/>
    <w:pPr>
      <w:ind w:firstLine="420" w:firstLineChars="200"/>
    </w:pPr>
    <w:rPr>
      <w:rFonts w:ascii="Calibri" w:hAnsi="Calibri"/>
    </w:rPr>
  </w:style>
  <w:style w:type="paragraph" w:customStyle="1" w:styleId="65">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66">
    <w:name w:val="样式 标题 1合同标题卷标题TITRE11h1标题 1 1标书1H11st levelSection Hea..."/>
    <w:basedOn w:val="4"/>
    <w:qFormat/>
    <w:uiPriority w:val="0"/>
    <w:pPr>
      <w:spacing w:before="40" w:after="40"/>
    </w:pPr>
  </w:style>
  <w:style w:type="character" w:customStyle="1" w:styleId="67">
    <w:name w:val="ask-title"/>
    <w:basedOn w:val="24"/>
    <w:qFormat/>
    <w:uiPriority w:val="0"/>
  </w:style>
  <w:style w:type="paragraph" w:customStyle="1" w:styleId="68">
    <w:name w:val="正文_1_2"/>
    <w:qFormat/>
    <w:uiPriority w:val="0"/>
    <w:pPr>
      <w:widowControl w:val="0"/>
      <w:jc w:val="both"/>
    </w:pPr>
    <w:rPr>
      <w:rFonts w:ascii="Calibri" w:hAnsi="Calibri" w:eastAsia="宋体" w:cs="Times New Roman"/>
      <w:kern w:val="2"/>
      <w:sz w:val="21"/>
      <w:szCs w:val="24"/>
      <w:lang w:val="en-US" w:eastAsia="zh-CN" w:bidi="ar-SA"/>
    </w:rPr>
  </w:style>
  <w:style w:type="paragraph" w:customStyle="1" w:styleId="69">
    <w:name w:val="Revision"/>
    <w:hidden/>
    <w:semiHidden/>
    <w:qFormat/>
    <w:uiPriority w:val="99"/>
    <w:rPr>
      <w:rFonts w:ascii="Calibri" w:hAnsi="Calibri" w:eastAsia="宋体" w:cs="Times New Roman"/>
      <w:kern w:val="2"/>
      <w:sz w:val="21"/>
      <w:szCs w:val="24"/>
      <w:lang w:val="en-US" w:eastAsia="zh-CN" w:bidi="ar-SA"/>
    </w:rPr>
  </w:style>
  <w:style w:type="character" w:customStyle="1" w:styleId="70">
    <w:name w:val="批注主题 字符"/>
    <w:basedOn w:val="37"/>
    <w:link w:val="21"/>
    <w:semiHidden/>
    <w:qFormat/>
    <w:uiPriority w:val="99"/>
    <w:rPr>
      <w:rFonts w:ascii="Calibri" w:hAnsi="Calibri" w:eastAsia="宋体" w:cs="Times New Roman"/>
      <w:b/>
      <w:bCs/>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115</Pages>
  <Words>82116</Words>
  <Characters>83918</Characters>
  <Lines>650</Lines>
  <Paragraphs>183</Paragraphs>
  <TotalTime>1</TotalTime>
  <ScaleCrop>false</ScaleCrop>
  <LinksUpToDate>false</LinksUpToDate>
  <CharactersWithSpaces>87211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2023-04-16T03:25:00Z</dcterms:created>
  <dc:creator>梁 雨轩</dc:creator>
  <cp:lastModifiedBy>Administrator</cp:lastModifiedBy>
  <cp:lastPrinted>2023-05-17T01:58:00Z</cp:lastPrinted>
  <dcterms:modified xsi:type="dcterms:W3CDTF">2023-06-06T04:16:20Z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48ECE97E4DCA4F3585B1757FA4424D75_13</vt:lpwstr>
  </property>
</Properties>
</file>